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A1F51C" w14:textId="77777777" w:rsidR="00142C60" w:rsidRDefault="00142C60" w:rsidP="00142C60">
      <w:pPr>
        <w:spacing w:after="0" w:line="240" w:lineRule="auto"/>
        <w:rPr>
          <w:b/>
          <w:sz w:val="44"/>
        </w:rPr>
      </w:pPr>
      <w:r w:rsidRPr="002D0548">
        <w:rPr>
          <w:b/>
          <w:sz w:val="44"/>
        </w:rPr>
        <w:t>Fertilización de Verdeos de Invierno</w:t>
      </w:r>
    </w:p>
    <w:p w14:paraId="7244F8B4" w14:textId="77777777" w:rsidR="00142C60" w:rsidRPr="00100856" w:rsidRDefault="00142C60" w:rsidP="00142C60">
      <w:pPr>
        <w:rPr>
          <w:rFonts w:cstheme="minorHAnsi"/>
        </w:rPr>
      </w:pPr>
    </w:p>
    <w:p w14:paraId="5B0600CF" w14:textId="77777777" w:rsidR="00142C60" w:rsidRPr="00100856" w:rsidRDefault="00142C60" w:rsidP="00142C60">
      <w:pPr>
        <w:autoSpaceDE w:val="0"/>
        <w:autoSpaceDN w:val="0"/>
        <w:adjustRightInd w:val="0"/>
        <w:spacing w:after="0" w:line="240" w:lineRule="auto"/>
        <w:jc w:val="both"/>
        <w:rPr>
          <w:rFonts w:cstheme="minorHAnsi"/>
        </w:rPr>
      </w:pPr>
      <w:r w:rsidRPr="00100856">
        <w:rPr>
          <w:rFonts w:cstheme="minorHAnsi"/>
        </w:rPr>
        <w:t>Los verdeos de invierno son un componente muy importante de la cadena forrajera durante el período otoño ‐ principios de primavera, cuando la oferta forrajera de las pasturas perennes declina</w:t>
      </w:r>
      <w:r>
        <w:rPr>
          <w:rFonts w:cstheme="minorHAnsi"/>
        </w:rPr>
        <w:t xml:space="preserve"> y las pasturas nuevas aún no producen</w:t>
      </w:r>
      <w:r w:rsidRPr="00100856">
        <w:rPr>
          <w:rFonts w:cstheme="minorHAnsi"/>
        </w:rPr>
        <w:t>. Estos recursos manejados de forma adecuada cubren gran parte de los requerimientos energéticos y proteicos de los animales, permitiendo sustentar buenos desempeños productivos. En este resumen haremos referencia a las especies más utilizadas en la Región Pampeana: avena (</w:t>
      </w:r>
      <w:r w:rsidRPr="00100856">
        <w:rPr>
          <w:rFonts w:cstheme="minorHAnsi"/>
          <w:i/>
        </w:rPr>
        <w:t>Avena sativa</w:t>
      </w:r>
      <w:r w:rsidRPr="00100856">
        <w:rPr>
          <w:rFonts w:cstheme="minorHAnsi"/>
        </w:rPr>
        <w:t>) y raigrás anual (</w:t>
      </w:r>
      <w:r w:rsidRPr="00100856">
        <w:rPr>
          <w:rFonts w:cstheme="minorHAnsi"/>
          <w:i/>
          <w:iCs/>
        </w:rPr>
        <w:t>Lolium multiflorum</w:t>
      </w:r>
      <w:r w:rsidRPr="00100856">
        <w:rPr>
          <w:rFonts w:cstheme="minorHAnsi"/>
        </w:rPr>
        <w:t xml:space="preserve">). Al igual que el resto de las gramíneas, estas especies son de elevado potencial de respuesta a la fertilización </w:t>
      </w:r>
      <w:r>
        <w:rPr>
          <w:rFonts w:cstheme="minorHAnsi"/>
        </w:rPr>
        <w:t>nitrogenada</w:t>
      </w:r>
      <w:r w:rsidRPr="00100856">
        <w:rPr>
          <w:rFonts w:cstheme="minorHAnsi"/>
        </w:rPr>
        <w:t>. Los requerimientos de nitrógeno (N) y otros nutrientes se equiparan a los de otras forrajeras de muy alto valor nutricional, como la Alfalfa (Tabla 1).</w:t>
      </w:r>
    </w:p>
    <w:p w14:paraId="1059E2F0" w14:textId="77777777" w:rsidR="00142C60" w:rsidRPr="00100856" w:rsidRDefault="00142C60" w:rsidP="00142C60">
      <w:pPr>
        <w:autoSpaceDE w:val="0"/>
        <w:autoSpaceDN w:val="0"/>
        <w:adjustRightInd w:val="0"/>
        <w:spacing w:after="0" w:line="240" w:lineRule="auto"/>
        <w:rPr>
          <w:rFonts w:cstheme="minorHAnsi"/>
        </w:rPr>
      </w:pPr>
    </w:p>
    <w:p w14:paraId="6363CD94" w14:textId="77777777" w:rsidR="00142C60" w:rsidRPr="00100856" w:rsidRDefault="00142C60" w:rsidP="00142C60">
      <w:pPr>
        <w:rPr>
          <w:rFonts w:cstheme="minorHAnsi"/>
        </w:rPr>
      </w:pPr>
      <w:r w:rsidRPr="00100856">
        <w:rPr>
          <w:rFonts w:cstheme="minorHAnsi"/>
        </w:rPr>
        <w:t>Tabla 1: Requerimientos de nutrientes de Raigrás anual (kg/ tonelada MS). Fuente IPNI 2013</w:t>
      </w:r>
    </w:p>
    <w:tbl>
      <w:tblPr>
        <w:tblStyle w:val="TableGrid"/>
        <w:tblW w:w="0" w:type="auto"/>
        <w:tblLook w:val="04A0" w:firstRow="1" w:lastRow="0" w:firstColumn="1" w:lastColumn="0" w:noHBand="0" w:noVBand="1"/>
      </w:tblPr>
      <w:tblGrid>
        <w:gridCol w:w="1838"/>
        <w:gridCol w:w="1130"/>
        <w:gridCol w:w="1138"/>
        <w:gridCol w:w="1134"/>
        <w:gridCol w:w="1200"/>
        <w:gridCol w:w="1288"/>
        <w:gridCol w:w="1288"/>
      </w:tblGrid>
      <w:tr w:rsidR="00142C60" w:rsidRPr="00100856" w14:paraId="6601B547" w14:textId="77777777" w:rsidTr="00592FD9">
        <w:tc>
          <w:tcPr>
            <w:tcW w:w="1838" w:type="dxa"/>
          </w:tcPr>
          <w:p w14:paraId="06D2900B" w14:textId="77777777" w:rsidR="00142C60" w:rsidRPr="00100856" w:rsidRDefault="00142C60" w:rsidP="00592FD9">
            <w:pPr>
              <w:autoSpaceDE w:val="0"/>
              <w:autoSpaceDN w:val="0"/>
              <w:adjustRightInd w:val="0"/>
              <w:rPr>
                <w:rFonts w:cstheme="minorHAnsi"/>
              </w:rPr>
            </w:pPr>
            <w:r w:rsidRPr="00100856">
              <w:rPr>
                <w:rFonts w:cstheme="minorHAnsi"/>
              </w:rPr>
              <w:t xml:space="preserve">Especie </w:t>
            </w:r>
          </w:p>
        </w:tc>
        <w:tc>
          <w:tcPr>
            <w:tcW w:w="1130" w:type="dxa"/>
          </w:tcPr>
          <w:p w14:paraId="56ECB157" w14:textId="77777777" w:rsidR="00142C60" w:rsidRPr="00100856" w:rsidRDefault="00142C60" w:rsidP="00592FD9">
            <w:pPr>
              <w:jc w:val="center"/>
              <w:rPr>
                <w:rFonts w:cstheme="minorHAnsi"/>
              </w:rPr>
            </w:pPr>
            <w:r w:rsidRPr="00100856">
              <w:rPr>
                <w:rFonts w:cstheme="minorHAnsi"/>
              </w:rPr>
              <w:t>Nitrógeno</w:t>
            </w:r>
          </w:p>
        </w:tc>
        <w:tc>
          <w:tcPr>
            <w:tcW w:w="1138" w:type="dxa"/>
          </w:tcPr>
          <w:p w14:paraId="515C2B0D" w14:textId="77777777" w:rsidR="00142C60" w:rsidRPr="00100856" w:rsidRDefault="00142C60" w:rsidP="00592FD9">
            <w:pPr>
              <w:jc w:val="center"/>
              <w:rPr>
                <w:rFonts w:cstheme="minorHAnsi"/>
              </w:rPr>
            </w:pPr>
            <w:r w:rsidRPr="00100856">
              <w:rPr>
                <w:rFonts w:cstheme="minorHAnsi"/>
              </w:rPr>
              <w:t>Fosforo</w:t>
            </w:r>
          </w:p>
        </w:tc>
        <w:tc>
          <w:tcPr>
            <w:tcW w:w="1134" w:type="dxa"/>
          </w:tcPr>
          <w:p w14:paraId="57EC6065" w14:textId="77777777" w:rsidR="00142C60" w:rsidRPr="00100856" w:rsidRDefault="00142C60" w:rsidP="00592FD9">
            <w:pPr>
              <w:jc w:val="center"/>
              <w:rPr>
                <w:rFonts w:cstheme="minorHAnsi"/>
              </w:rPr>
            </w:pPr>
            <w:r w:rsidRPr="00100856">
              <w:rPr>
                <w:rFonts w:cstheme="minorHAnsi"/>
              </w:rPr>
              <w:t>Potasio</w:t>
            </w:r>
          </w:p>
        </w:tc>
        <w:tc>
          <w:tcPr>
            <w:tcW w:w="1200" w:type="dxa"/>
          </w:tcPr>
          <w:p w14:paraId="223AF842" w14:textId="77777777" w:rsidR="00142C60" w:rsidRPr="00100856" w:rsidRDefault="00142C60" w:rsidP="00592FD9">
            <w:pPr>
              <w:jc w:val="center"/>
              <w:rPr>
                <w:rFonts w:cstheme="minorHAnsi"/>
              </w:rPr>
            </w:pPr>
            <w:r w:rsidRPr="00100856">
              <w:rPr>
                <w:rFonts w:cstheme="minorHAnsi"/>
              </w:rPr>
              <w:t>Calcio</w:t>
            </w:r>
          </w:p>
        </w:tc>
        <w:tc>
          <w:tcPr>
            <w:tcW w:w="1288" w:type="dxa"/>
          </w:tcPr>
          <w:p w14:paraId="4B52AF3A" w14:textId="77777777" w:rsidR="00142C60" w:rsidRPr="00100856" w:rsidRDefault="00142C60" w:rsidP="00592FD9">
            <w:pPr>
              <w:jc w:val="center"/>
              <w:rPr>
                <w:rFonts w:cstheme="minorHAnsi"/>
              </w:rPr>
            </w:pPr>
            <w:r w:rsidRPr="00100856">
              <w:rPr>
                <w:rFonts w:cstheme="minorHAnsi"/>
              </w:rPr>
              <w:t>Magnesio</w:t>
            </w:r>
          </w:p>
        </w:tc>
        <w:tc>
          <w:tcPr>
            <w:tcW w:w="1288" w:type="dxa"/>
          </w:tcPr>
          <w:p w14:paraId="3E192733" w14:textId="77777777" w:rsidR="00142C60" w:rsidRPr="00100856" w:rsidRDefault="00142C60" w:rsidP="00592FD9">
            <w:pPr>
              <w:jc w:val="center"/>
              <w:rPr>
                <w:rFonts w:cstheme="minorHAnsi"/>
              </w:rPr>
            </w:pPr>
            <w:r w:rsidRPr="00100856">
              <w:rPr>
                <w:rFonts w:cstheme="minorHAnsi"/>
              </w:rPr>
              <w:t>Azufre</w:t>
            </w:r>
          </w:p>
        </w:tc>
      </w:tr>
      <w:tr w:rsidR="00142C60" w:rsidRPr="00100856" w14:paraId="615E5265" w14:textId="77777777" w:rsidTr="00592FD9">
        <w:tc>
          <w:tcPr>
            <w:tcW w:w="1838" w:type="dxa"/>
          </w:tcPr>
          <w:p w14:paraId="6A945841" w14:textId="77777777" w:rsidR="00142C60" w:rsidRPr="00100856" w:rsidRDefault="00142C60" w:rsidP="00592FD9">
            <w:pPr>
              <w:autoSpaceDE w:val="0"/>
              <w:autoSpaceDN w:val="0"/>
              <w:adjustRightInd w:val="0"/>
              <w:rPr>
                <w:rFonts w:cstheme="minorHAnsi"/>
              </w:rPr>
            </w:pPr>
            <w:r w:rsidRPr="00100856">
              <w:rPr>
                <w:rFonts w:cstheme="minorHAnsi"/>
              </w:rPr>
              <w:t xml:space="preserve">Raigrás anual </w:t>
            </w:r>
          </w:p>
        </w:tc>
        <w:tc>
          <w:tcPr>
            <w:tcW w:w="1130" w:type="dxa"/>
          </w:tcPr>
          <w:p w14:paraId="580AB24B" w14:textId="77777777" w:rsidR="00142C60" w:rsidRPr="00100856" w:rsidRDefault="00142C60" w:rsidP="00592FD9">
            <w:pPr>
              <w:jc w:val="center"/>
              <w:rPr>
                <w:rFonts w:cstheme="minorHAnsi"/>
              </w:rPr>
            </w:pPr>
            <w:r w:rsidRPr="00100856">
              <w:rPr>
                <w:rFonts w:cstheme="minorHAnsi"/>
              </w:rPr>
              <w:t>30</w:t>
            </w:r>
          </w:p>
        </w:tc>
        <w:tc>
          <w:tcPr>
            <w:tcW w:w="1138" w:type="dxa"/>
          </w:tcPr>
          <w:p w14:paraId="2D66CAAD" w14:textId="77777777" w:rsidR="00142C60" w:rsidRPr="00100856" w:rsidRDefault="00142C60" w:rsidP="00592FD9">
            <w:pPr>
              <w:jc w:val="center"/>
              <w:rPr>
                <w:rFonts w:cstheme="minorHAnsi"/>
              </w:rPr>
            </w:pPr>
            <w:r w:rsidRPr="00100856">
              <w:rPr>
                <w:rFonts w:cstheme="minorHAnsi"/>
              </w:rPr>
              <w:t>3</w:t>
            </w:r>
          </w:p>
        </w:tc>
        <w:tc>
          <w:tcPr>
            <w:tcW w:w="1134" w:type="dxa"/>
          </w:tcPr>
          <w:p w14:paraId="5B7A2A1C" w14:textId="77777777" w:rsidR="00142C60" w:rsidRPr="00100856" w:rsidRDefault="00142C60" w:rsidP="00592FD9">
            <w:pPr>
              <w:jc w:val="center"/>
              <w:rPr>
                <w:rFonts w:cstheme="minorHAnsi"/>
              </w:rPr>
            </w:pPr>
            <w:r w:rsidRPr="00100856">
              <w:rPr>
                <w:rFonts w:cstheme="minorHAnsi"/>
              </w:rPr>
              <w:t>26</w:t>
            </w:r>
          </w:p>
        </w:tc>
        <w:tc>
          <w:tcPr>
            <w:tcW w:w="1200" w:type="dxa"/>
          </w:tcPr>
          <w:p w14:paraId="78AE5726" w14:textId="77777777" w:rsidR="00142C60" w:rsidRPr="00100856" w:rsidRDefault="00142C60" w:rsidP="00592FD9">
            <w:pPr>
              <w:jc w:val="center"/>
              <w:rPr>
                <w:rFonts w:cstheme="minorHAnsi"/>
              </w:rPr>
            </w:pPr>
            <w:r w:rsidRPr="00100856">
              <w:rPr>
                <w:rFonts w:cstheme="minorHAnsi"/>
              </w:rPr>
              <w:t>6</w:t>
            </w:r>
          </w:p>
        </w:tc>
        <w:tc>
          <w:tcPr>
            <w:tcW w:w="1288" w:type="dxa"/>
          </w:tcPr>
          <w:p w14:paraId="53524AFC" w14:textId="77777777" w:rsidR="00142C60" w:rsidRPr="00100856" w:rsidRDefault="00142C60" w:rsidP="00592FD9">
            <w:pPr>
              <w:jc w:val="center"/>
              <w:rPr>
                <w:rFonts w:cstheme="minorHAnsi"/>
              </w:rPr>
            </w:pPr>
            <w:r w:rsidRPr="00100856">
              <w:rPr>
                <w:rFonts w:cstheme="minorHAnsi"/>
              </w:rPr>
              <w:t>2</w:t>
            </w:r>
          </w:p>
        </w:tc>
        <w:tc>
          <w:tcPr>
            <w:tcW w:w="1288" w:type="dxa"/>
          </w:tcPr>
          <w:p w14:paraId="17137AE5" w14:textId="77777777" w:rsidR="00142C60" w:rsidRPr="00100856" w:rsidRDefault="00142C60" w:rsidP="00592FD9">
            <w:pPr>
              <w:jc w:val="center"/>
              <w:rPr>
                <w:rFonts w:cstheme="minorHAnsi"/>
              </w:rPr>
            </w:pPr>
            <w:r w:rsidRPr="00100856">
              <w:rPr>
                <w:rFonts w:cstheme="minorHAnsi"/>
              </w:rPr>
              <w:t>2.5</w:t>
            </w:r>
          </w:p>
        </w:tc>
      </w:tr>
    </w:tbl>
    <w:p w14:paraId="7A8BD729" w14:textId="77777777" w:rsidR="00142C60" w:rsidRPr="00100856" w:rsidRDefault="00142C60" w:rsidP="00142C60">
      <w:pPr>
        <w:rPr>
          <w:rFonts w:cstheme="minorHAnsi"/>
        </w:rPr>
      </w:pPr>
    </w:p>
    <w:p w14:paraId="61CA445E" w14:textId="77777777" w:rsidR="00142C60" w:rsidRPr="00100856" w:rsidRDefault="00142C60" w:rsidP="00142C60">
      <w:pPr>
        <w:tabs>
          <w:tab w:val="left" w:pos="6946"/>
        </w:tabs>
        <w:jc w:val="both"/>
        <w:rPr>
          <w:rFonts w:cstheme="minorHAnsi"/>
        </w:rPr>
      </w:pPr>
      <w:r>
        <w:rPr>
          <w:rFonts w:cstheme="minorHAnsi"/>
        </w:rPr>
        <w:t xml:space="preserve">Estas especies </w:t>
      </w:r>
      <w:r w:rsidRPr="00100856">
        <w:rPr>
          <w:rFonts w:cstheme="minorHAnsi"/>
        </w:rPr>
        <w:t>deben desarrollarse</w:t>
      </w:r>
      <w:r>
        <w:rPr>
          <w:rFonts w:cstheme="minorHAnsi"/>
        </w:rPr>
        <w:t xml:space="preserve"> </w:t>
      </w:r>
      <w:r w:rsidRPr="00100856">
        <w:rPr>
          <w:rFonts w:cstheme="minorHAnsi"/>
        </w:rPr>
        <w:t>en un período del año en que las temperaturas</w:t>
      </w:r>
      <w:r>
        <w:rPr>
          <w:rFonts w:cstheme="minorHAnsi"/>
        </w:rPr>
        <w:t xml:space="preserve"> </w:t>
      </w:r>
      <w:r w:rsidRPr="00100856">
        <w:rPr>
          <w:rFonts w:cstheme="minorHAnsi"/>
        </w:rPr>
        <w:t>medias ambientales son bajas</w:t>
      </w:r>
      <w:r>
        <w:rPr>
          <w:rFonts w:cstheme="minorHAnsi"/>
        </w:rPr>
        <w:t>, y</w:t>
      </w:r>
      <w:r w:rsidRPr="00100856">
        <w:rPr>
          <w:rFonts w:cstheme="minorHAnsi"/>
        </w:rPr>
        <w:t xml:space="preserve"> en donde </w:t>
      </w:r>
      <w:r>
        <w:rPr>
          <w:rFonts w:cstheme="minorHAnsi"/>
        </w:rPr>
        <w:t xml:space="preserve">hay </w:t>
      </w:r>
      <w:r w:rsidRPr="00100856">
        <w:rPr>
          <w:rFonts w:cstheme="minorHAnsi"/>
        </w:rPr>
        <w:t>una disminución de los mecanismos de liberación</w:t>
      </w:r>
      <w:r>
        <w:rPr>
          <w:rFonts w:cstheme="minorHAnsi"/>
        </w:rPr>
        <w:t xml:space="preserve"> </w:t>
      </w:r>
      <w:r w:rsidRPr="00100856">
        <w:rPr>
          <w:rFonts w:cstheme="minorHAnsi"/>
        </w:rPr>
        <w:t xml:space="preserve">de </w:t>
      </w:r>
      <w:r>
        <w:rPr>
          <w:rFonts w:cstheme="minorHAnsi"/>
        </w:rPr>
        <w:t>nutrientes</w:t>
      </w:r>
      <w:r w:rsidRPr="00100856">
        <w:rPr>
          <w:rFonts w:cstheme="minorHAnsi"/>
        </w:rPr>
        <w:t xml:space="preserve"> (baja mineralización).</w:t>
      </w:r>
      <w:r>
        <w:rPr>
          <w:rFonts w:cstheme="minorHAnsi"/>
        </w:rPr>
        <w:t xml:space="preserve"> </w:t>
      </w:r>
      <w:r w:rsidRPr="00100856">
        <w:rPr>
          <w:rFonts w:cstheme="minorHAnsi"/>
        </w:rPr>
        <w:t>Los objetivos de la fertilización de verdeos incluyen: aumentar y/o estabilizar la producción de forraje; reducir su costo; y aumentar la eficiencia de uso del agua.</w:t>
      </w:r>
      <w:r>
        <w:rPr>
          <w:rFonts w:cstheme="minorHAnsi"/>
        </w:rPr>
        <w:t xml:space="preserve"> Debido a l</w:t>
      </w:r>
      <w:r w:rsidRPr="00100856">
        <w:rPr>
          <w:rFonts w:cstheme="minorHAnsi"/>
        </w:rPr>
        <w:t xml:space="preserve">os elevados requerimientos </w:t>
      </w:r>
      <w:r>
        <w:rPr>
          <w:rFonts w:cstheme="minorHAnsi"/>
        </w:rPr>
        <w:t>de estas</w:t>
      </w:r>
      <w:r w:rsidRPr="00100856">
        <w:rPr>
          <w:rFonts w:cstheme="minorHAnsi"/>
        </w:rPr>
        <w:t xml:space="preserve"> especie</w:t>
      </w:r>
      <w:r>
        <w:rPr>
          <w:rFonts w:cstheme="minorHAnsi"/>
        </w:rPr>
        <w:t>s</w:t>
      </w:r>
      <w:r w:rsidRPr="00100856">
        <w:rPr>
          <w:rFonts w:cstheme="minorHAnsi"/>
        </w:rPr>
        <w:t xml:space="preserve"> y la característica de desarrollar su crecimiento durante el invierno,</w:t>
      </w:r>
      <w:r>
        <w:rPr>
          <w:rFonts w:cstheme="minorHAnsi"/>
        </w:rPr>
        <w:t xml:space="preserve"> es que</w:t>
      </w:r>
      <w:r w:rsidRPr="00100856">
        <w:rPr>
          <w:rFonts w:cstheme="minorHAnsi"/>
        </w:rPr>
        <w:t xml:space="preserve"> </w:t>
      </w:r>
      <w:r>
        <w:rPr>
          <w:rFonts w:cstheme="minorHAnsi"/>
        </w:rPr>
        <w:t>l</w:t>
      </w:r>
      <w:r w:rsidRPr="00100856">
        <w:rPr>
          <w:rFonts w:cstheme="minorHAnsi"/>
        </w:rPr>
        <w:t>a mayoría de los experimentos de fertilización de verdeos de invierno han evalua</w:t>
      </w:r>
      <w:r>
        <w:rPr>
          <w:rFonts w:cstheme="minorHAnsi"/>
        </w:rPr>
        <w:t>do principalmente el efecto de N</w:t>
      </w:r>
      <w:r w:rsidRPr="00100856">
        <w:rPr>
          <w:rFonts w:cstheme="minorHAnsi"/>
        </w:rPr>
        <w:t xml:space="preserve">. </w:t>
      </w:r>
    </w:p>
    <w:p w14:paraId="27ADA962" w14:textId="77777777" w:rsidR="00142C60" w:rsidRPr="00100856" w:rsidRDefault="00142C60" w:rsidP="00142C60">
      <w:pPr>
        <w:jc w:val="both"/>
        <w:rPr>
          <w:rFonts w:cstheme="minorHAnsi"/>
        </w:rPr>
      </w:pPr>
      <w:r w:rsidRPr="00100856">
        <w:rPr>
          <w:rFonts w:cstheme="minorHAnsi"/>
        </w:rPr>
        <w:t xml:space="preserve">En general, la aplicación de N en verdeos invernales presenta elevadas eficiencias de uso del N aplicado dependiendo fundamentalmente de la disponibilidad hídrica. </w:t>
      </w:r>
      <w:r>
        <w:rPr>
          <w:rFonts w:cstheme="minorHAnsi"/>
        </w:rPr>
        <w:t>Para este artículo se realizó</w:t>
      </w:r>
      <w:r w:rsidRPr="00100856">
        <w:rPr>
          <w:rFonts w:cstheme="minorHAnsi"/>
        </w:rPr>
        <w:t xml:space="preserve"> una revisión de ensayos de fertilización en verdeo</w:t>
      </w:r>
      <w:r w:rsidR="00C04E28">
        <w:rPr>
          <w:rFonts w:cstheme="minorHAnsi"/>
        </w:rPr>
        <w:t>s en la Región Pampeana (Tabla 2</w:t>
      </w:r>
      <w:r w:rsidRPr="00100856">
        <w:rPr>
          <w:rFonts w:cstheme="minorHAnsi"/>
        </w:rPr>
        <w:t>).</w:t>
      </w:r>
    </w:p>
    <w:p w14:paraId="4C47E945" w14:textId="77777777" w:rsidR="00142C60" w:rsidRDefault="00142C60" w:rsidP="00142C60">
      <w:pPr>
        <w:rPr>
          <w:rFonts w:cstheme="minorHAnsi"/>
        </w:rPr>
      </w:pPr>
    </w:p>
    <w:p w14:paraId="7DCCDFA5" w14:textId="72A6A9E9" w:rsidR="00142C60" w:rsidRPr="00100856" w:rsidRDefault="00C04E28" w:rsidP="00142C60">
      <w:pPr>
        <w:rPr>
          <w:rFonts w:cstheme="minorHAnsi"/>
        </w:rPr>
      </w:pPr>
      <w:r>
        <w:rPr>
          <w:rFonts w:cstheme="minorHAnsi"/>
        </w:rPr>
        <w:t>Tabla 2</w:t>
      </w:r>
      <w:r w:rsidR="00142C60" w:rsidRPr="00100856">
        <w:rPr>
          <w:rFonts w:cstheme="minorHAnsi"/>
        </w:rPr>
        <w:t>: Valores medios de revisión de ensayos de fertilización nitrogenada en verdeos de invierno en la Región Pampeana. n= número de datos; Dosis N= dosis media utilizada en los ensayos; E</w:t>
      </w:r>
      <w:r w:rsidR="003279B8">
        <w:rPr>
          <w:rFonts w:cstheme="minorHAnsi"/>
        </w:rPr>
        <w:t>A</w:t>
      </w:r>
      <w:r w:rsidR="00142C60" w:rsidRPr="00100856">
        <w:rPr>
          <w:rFonts w:cstheme="minorHAnsi"/>
        </w:rPr>
        <w:t xml:space="preserve">= Eficiencia </w:t>
      </w:r>
      <w:r w:rsidR="003279B8">
        <w:rPr>
          <w:rFonts w:cstheme="minorHAnsi"/>
        </w:rPr>
        <w:t>agr</w:t>
      </w:r>
      <w:r w:rsidR="00FB6A9F">
        <w:rPr>
          <w:rFonts w:cstheme="minorHAnsi"/>
        </w:rPr>
        <w:t>o</w:t>
      </w:r>
      <w:r w:rsidR="003279B8">
        <w:rPr>
          <w:rFonts w:cstheme="minorHAnsi"/>
        </w:rPr>
        <w:t>nómica</w:t>
      </w:r>
      <w:r w:rsidR="00142C60" w:rsidRPr="00100856">
        <w:rPr>
          <w:rFonts w:cstheme="minorHAnsi"/>
        </w:rPr>
        <w:t>.</w:t>
      </w:r>
      <w:r w:rsidR="00FB6A9F">
        <w:rPr>
          <w:rFonts w:cstheme="minorHAnsi"/>
        </w:rPr>
        <w:t xml:space="preserve"> La EA fue calculada para cada experimento y luego promediada.</w:t>
      </w:r>
    </w:p>
    <w:tbl>
      <w:tblPr>
        <w:tblW w:w="8789" w:type="dxa"/>
        <w:tblCellMar>
          <w:left w:w="70" w:type="dxa"/>
          <w:right w:w="70" w:type="dxa"/>
        </w:tblCellMar>
        <w:tblLook w:val="04A0" w:firstRow="1" w:lastRow="0" w:firstColumn="1" w:lastColumn="0" w:noHBand="0" w:noVBand="1"/>
      </w:tblPr>
      <w:tblGrid>
        <w:gridCol w:w="1623"/>
        <w:gridCol w:w="447"/>
        <w:gridCol w:w="1474"/>
        <w:gridCol w:w="2126"/>
        <w:gridCol w:w="1701"/>
        <w:gridCol w:w="1418"/>
      </w:tblGrid>
      <w:tr w:rsidR="00142C60" w:rsidRPr="00C04E28" w14:paraId="426F6BC9" w14:textId="77777777" w:rsidTr="00592FD9">
        <w:trPr>
          <w:trHeight w:val="623"/>
        </w:trPr>
        <w:tc>
          <w:tcPr>
            <w:tcW w:w="1623" w:type="dxa"/>
            <w:tcBorders>
              <w:top w:val="nil"/>
              <w:left w:val="nil"/>
              <w:bottom w:val="single" w:sz="4" w:space="0" w:color="auto"/>
              <w:right w:val="nil"/>
            </w:tcBorders>
            <w:shd w:val="clear" w:color="000000" w:fill="FFFFFF"/>
            <w:noWrap/>
            <w:vAlign w:val="bottom"/>
            <w:hideMark/>
          </w:tcPr>
          <w:p w14:paraId="37ACA624" w14:textId="77777777" w:rsidR="00142C60" w:rsidRPr="00100856" w:rsidRDefault="00142C60" w:rsidP="00592FD9">
            <w:pPr>
              <w:spacing w:after="0" w:line="240" w:lineRule="auto"/>
              <w:rPr>
                <w:rFonts w:eastAsia="Times New Roman" w:cstheme="minorHAnsi"/>
                <w:color w:val="000000"/>
                <w:lang w:eastAsia="es-AR"/>
              </w:rPr>
            </w:pPr>
            <w:r w:rsidRPr="00100856">
              <w:rPr>
                <w:rFonts w:eastAsia="Times New Roman" w:cstheme="minorHAnsi"/>
                <w:color w:val="000000"/>
                <w:lang w:eastAsia="es-AR"/>
              </w:rPr>
              <w:t>Provincia</w:t>
            </w:r>
          </w:p>
        </w:tc>
        <w:tc>
          <w:tcPr>
            <w:tcW w:w="447" w:type="dxa"/>
            <w:tcBorders>
              <w:top w:val="nil"/>
              <w:left w:val="nil"/>
              <w:bottom w:val="single" w:sz="4" w:space="0" w:color="auto"/>
              <w:right w:val="nil"/>
            </w:tcBorders>
            <w:shd w:val="clear" w:color="000000" w:fill="FFFFFF"/>
            <w:noWrap/>
            <w:vAlign w:val="bottom"/>
            <w:hideMark/>
          </w:tcPr>
          <w:p w14:paraId="756E8DD0" w14:textId="77777777" w:rsidR="00142C60" w:rsidRPr="00100856" w:rsidRDefault="00142C60" w:rsidP="00592FD9">
            <w:pPr>
              <w:spacing w:after="0" w:line="240" w:lineRule="auto"/>
              <w:rPr>
                <w:rFonts w:eastAsia="Times New Roman" w:cstheme="minorHAnsi"/>
                <w:color w:val="000000"/>
                <w:lang w:eastAsia="es-AR"/>
              </w:rPr>
            </w:pPr>
            <w:r w:rsidRPr="00100856">
              <w:rPr>
                <w:rFonts w:eastAsia="Times New Roman" w:cstheme="minorHAnsi"/>
                <w:color w:val="000000"/>
                <w:lang w:eastAsia="es-AR"/>
              </w:rPr>
              <w:t>N</w:t>
            </w:r>
          </w:p>
        </w:tc>
        <w:tc>
          <w:tcPr>
            <w:tcW w:w="1474" w:type="dxa"/>
            <w:tcBorders>
              <w:top w:val="nil"/>
              <w:left w:val="nil"/>
              <w:bottom w:val="single" w:sz="4" w:space="0" w:color="auto"/>
              <w:right w:val="nil"/>
            </w:tcBorders>
            <w:shd w:val="clear" w:color="000000" w:fill="FFFFFF"/>
            <w:vAlign w:val="bottom"/>
            <w:hideMark/>
          </w:tcPr>
          <w:p w14:paraId="2D43637E"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Dosis N (kg/ha)</w:t>
            </w:r>
          </w:p>
        </w:tc>
        <w:tc>
          <w:tcPr>
            <w:tcW w:w="2126" w:type="dxa"/>
            <w:tcBorders>
              <w:top w:val="nil"/>
              <w:left w:val="nil"/>
              <w:bottom w:val="single" w:sz="4" w:space="0" w:color="auto"/>
              <w:right w:val="nil"/>
            </w:tcBorders>
            <w:shd w:val="clear" w:color="000000" w:fill="FFFFFF"/>
            <w:vAlign w:val="bottom"/>
            <w:hideMark/>
          </w:tcPr>
          <w:p w14:paraId="0D4CA73A"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Producción testigo (kg MS/ha)</w:t>
            </w:r>
          </w:p>
        </w:tc>
        <w:tc>
          <w:tcPr>
            <w:tcW w:w="1701" w:type="dxa"/>
            <w:tcBorders>
              <w:top w:val="nil"/>
              <w:left w:val="nil"/>
              <w:bottom w:val="single" w:sz="4" w:space="0" w:color="auto"/>
              <w:right w:val="nil"/>
            </w:tcBorders>
            <w:shd w:val="clear" w:color="000000" w:fill="FFFFFF"/>
            <w:vAlign w:val="bottom"/>
            <w:hideMark/>
          </w:tcPr>
          <w:p w14:paraId="50B8165D"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Respuesta media (kg MS/ha)</w:t>
            </w:r>
          </w:p>
        </w:tc>
        <w:tc>
          <w:tcPr>
            <w:tcW w:w="1418" w:type="dxa"/>
            <w:tcBorders>
              <w:top w:val="nil"/>
              <w:left w:val="nil"/>
              <w:bottom w:val="single" w:sz="4" w:space="0" w:color="auto"/>
              <w:right w:val="nil"/>
            </w:tcBorders>
            <w:shd w:val="clear" w:color="000000" w:fill="FFFFFF"/>
            <w:vAlign w:val="bottom"/>
            <w:hideMark/>
          </w:tcPr>
          <w:p w14:paraId="413ED3C3" w14:textId="77777777" w:rsidR="00142C60" w:rsidRPr="00100856" w:rsidRDefault="003279B8" w:rsidP="00592FD9">
            <w:pPr>
              <w:spacing w:after="0" w:line="240" w:lineRule="auto"/>
              <w:jc w:val="center"/>
              <w:rPr>
                <w:rFonts w:eastAsia="Times New Roman" w:cstheme="minorHAnsi"/>
                <w:color w:val="000000"/>
                <w:lang w:val="en-US" w:eastAsia="es-AR"/>
              </w:rPr>
            </w:pPr>
            <w:r>
              <w:rPr>
                <w:rFonts w:eastAsia="Times New Roman" w:cstheme="minorHAnsi"/>
                <w:color w:val="000000"/>
                <w:lang w:val="en-US" w:eastAsia="es-AR"/>
              </w:rPr>
              <w:t>EA</w:t>
            </w:r>
          </w:p>
          <w:p w14:paraId="224EC1D9" w14:textId="77777777" w:rsidR="00142C60" w:rsidRPr="00100856" w:rsidRDefault="00142C60" w:rsidP="00592FD9">
            <w:pPr>
              <w:spacing w:after="0" w:line="240" w:lineRule="auto"/>
              <w:jc w:val="center"/>
              <w:rPr>
                <w:rFonts w:eastAsia="Times New Roman" w:cstheme="minorHAnsi"/>
                <w:color w:val="000000"/>
                <w:lang w:val="en-US" w:eastAsia="es-AR"/>
              </w:rPr>
            </w:pPr>
            <w:r w:rsidRPr="00100856">
              <w:rPr>
                <w:rFonts w:eastAsia="Times New Roman" w:cstheme="minorHAnsi"/>
                <w:color w:val="000000"/>
                <w:lang w:val="en-US" w:eastAsia="es-AR"/>
              </w:rPr>
              <w:t>(kg MS/kg N)</w:t>
            </w:r>
          </w:p>
        </w:tc>
      </w:tr>
      <w:tr w:rsidR="00142C60" w:rsidRPr="00100856" w14:paraId="5B8A9CB5" w14:textId="77777777" w:rsidTr="00592FD9">
        <w:trPr>
          <w:trHeight w:val="311"/>
        </w:trPr>
        <w:tc>
          <w:tcPr>
            <w:tcW w:w="1623" w:type="dxa"/>
            <w:tcBorders>
              <w:top w:val="nil"/>
              <w:left w:val="nil"/>
              <w:bottom w:val="nil"/>
              <w:right w:val="nil"/>
            </w:tcBorders>
            <w:shd w:val="clear" w:color="000000" w:fill="FFFFFF"/>
            <w:noWrap/>
            <w:vAlign w:val="bottom"/>
            <w:hideMark/>
          </w:tcPr>
          <w:p w14:paraId="4786E293" w14:textId="77777777" w:rsidR="00142C60" w:rsidRPr="00100856" w:rsidRDefault="00142C60" w:rsidP="00592FD9">
            <w:pPr>
              <w:spacing w:after="0" w:line="240" w:lineRule="auto"/>
              <w:rPr>
                <w:rFonts w:eastAsia="Times New Roman" w:cstheme="minorHAnsi"/>
                <w:color w:val="000000"/>
                <w:lang w:eastAsia="es-AR"/>
              </w:rPr>
            </w:pPr>
            <w:r w:rsidRPr="00100856">
              <w:rPr>
                <w:rFonts w:eastAsia="Times New Roman" w:cstheme="minorHAnsi"/>
                <w:color w:val="000000"/>
                <w:lang w:eastAsia="es-AR"/>
              </w:rPr>
              <w:t>Buenos Aires</w:t>
            </w:r>
          </w:p>
        </w:tc>
        <w:tc>
          <w:tcPr>
            <w:tcW w:w="447" w:type="dxa"/>
            <w:tcBorders>
              <w:top w:val="nil"/>
              <w:left w:val="nil"/>
              <w:bottom w:val="nil"/>
              <w:right w:val="nil"/>
            </w:tcBorders>
            <w:shd w:val="clear" w:color="000000" w:fill="FFFFFF"/>
            <w:noWrap/>
            <w:vAlign w:val="bottom"/>
            <w:hideMark/>
          </w:tcPr>
          <w:p w14:paraId="1CAEF21A" w14:textId="77777777" w:rsidR="00142C60" w:rsidRPr="00100856" w:rsidRDefault="00142C60" w:rsidP="00592FD9">
            <w:pPr>
              <w:spacing w:after="0" w:line="240" w:lineRule="auto"/>
              <w:jc w:val="right"/>
              <w:rPr>
                <w:rFonts w:eastAsia="Times New Roman" w:cstheme="minorHAnsi"/>
                <w:color w:val="000000"/>
                <w:lang w:eastAsia="es-AR"/>
              </w:rPr>
            </w:pPr>
            <w:r w:rsidRPr="00100856">
              <w:rPr>
                <w:rFonts w:eastAsia="Times New Roman" w:cstheme="minorHAnsi"/>
                <w:color w:val="000000"/>
                <w:lang w:eastAsia="es-AR"/>
              </w:rPr>
              <w:t>62</w:t>
            </w:r>
          </w:p>
        </w:tc>
        <w:tc>
          <w:tcPr>
            <w:tcW w:w="1474" w:type="dxa"/>
            <w:tcBorders>
              <w:top w:val="nil"/>
              <w:left w:val="nil"/>
              <w:bottom w:val="nil"/>
              <w:right w:val="nil"/>
            </w:tcBorders>
            <w:shd w:val="clear" w:color="000000" w:fill="FFFFFF"/>
            <w:noWrap/>
            <w:vAlign w:val="bottom"/>
            <w:hideMark/>
          </w:tcPr>
          <w:p w14:paraId="7E8A9AF8"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75</w:t>
            </w:r>
          </w:p>
        </w:tc>
        <w:tc>
          <w:tcPr>
            <w:tcW w:w="2126" w:type="dxa"/>
            <w:tcBorders>
              <w:top w:val="nil"/>
              <w:left w:val="nil"/>
              <w:bottom w:val="nil"/>
              <w:right w:val="nil"/>
            </w:tcBorders>
            <w:shd w:val="clear" w:color="000000" w:fill="FFFFFF"/>
            <w:noWrap/>
            <w:vAlign w:val="bottom"/>
            <w:hideMark/>
          </w:tcPr>
          <w:p w14:paraId="26681FE5"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3475</w:t>
            </w:r>
          </w:p>
        </w:tc>
        <w:tc>
          <w:tcPr>
            <w:tcW w:w="1701" w:type="dxa"/>
            <w:tcBorders>
              <w:top w:val="nil"/>
              <w:left w:val="nil"/>
              <w:bottom w:val="nil"/>
              <w:right w:val="nil"/>
            </w:tcBorders>
            <w:shd w:val="clear" w:color="000000" w:fill="FFFFFF"/>
            <w:noWrap/>
            <w:vAlign w:val="bottom"/>
            <w:hideMark/>
          </w:tcPr>
          <w:p w14:paraId="039C5B27"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1530</w:t>
            </w:r>
          </w:p>
        </w:tc>
        <w:tc>
          <w:tcPr>
            <w:tcW w:w="1418" w:type="dxa"/>
            <w:tcBorders>
              <w:top w:val="nil"/>
              <w:left w:val="nil"/>
              <w:bottom w:val="nil"/>
              <w:right w:val="nil"/>
            </w:tcBorders>
            <w:shd w:val="clear" w:color="000000" w:fill="FFFFFF"/>
            <w:noWrap/>
            <w:vAlign w:val="bottom"/>
            <w:hideMark/>
          </w:tcPr>
          <w:p w14:paraId="20619B2C"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15</w:t>
            </w:r>
          </w:p>
        </w:tc>
      </w:tr>
      <w:tr w:rsidR="00142C60" w:rsidRPr="00100856" w14:paraId="53E1660B" w14:textId="77777777" w:rsidTr="00592FD9">
        <w:trPr>
          <w:trHeight w:val="311"/>
        </w:trPr>
        <w:tc>
          <w:tcPr>
            <w:tcW w:w="1623" w:type="dxa"/>
            <w:tcBorders>
              <w:top w:val="nil"/>
              <w:left w:val="nil"/>
              <w:bottom w:val="nil"/>
              <w:right w:val="nil"/>
            </w:tcBorders>
            <w:shd w:val="clear" w:color="000000" w:fill="FFFFFF"/>
            <w:noWrap/>
            <w:vAlign w:val="bottom"/>
            <w:hideMark/>
          </w:tcPr>
          <w:p w14:paraId="6FAAAEA8" w14:textId="77777777" w:rsidR="00142C60" w:rsidRPr="00100856" w:rsidRDefault="00142C60" w:rsidP="00592FD9">
            <w:pPr>
              <w:spacing w:after="0" w:line="240" w:lineRule="auto"/>
              <w:rPr>
                <w:rFonts w:eastAsia="Times New Roman" w:cstheme="minorHAnsi"/>
                <w:color w:val="000000"/>
                <w:lang w:eastAsia="es-AR"/>
              </w:rPr>
            </w:pPr>
            <w:r w:rsidRPr="00100856">
              <w:rPr>
                <w:rFonts w:eastAsia="Times New Roman" w:cstheme="minorHAnsi"/>
                <w:color w:val="000000"/>
                <w:lang w:eastAsia="es-AR"/>
              </w:rPr>
              <w:t>Córdoba</w:t>
            </w:r>
          </w:p>
        </w:tc>
        <w:tc>
          <w:tcPr>
            <w:tcW w:w="447" w:type="dxa"/>
            <w:tcBorders>
              <w:top w:val="nil"/>
              <w:left w:val="nil"/>
              <w:bottom w:val="nil"/>
              <w:right w:val="nil"/>
            </w:tcBorders>
            <w:shd w:val="clear" w:color="000000" w:fill="FFFFFF"/>
            <w:noWrap/>
            <w:vAlign w:val="bottom"/>
            <w:hideMark/>
          </w:tcPr>
          <w:p w14:paraId="01FB5A3F" w14:textId="77777777" w:rsidR="00142C60" w:rsidRPr="00100856" w:rsidRDefault="00142C60" w:rsidP="00592FD9">
            <w:pPr>
              <w:spacing w:after="0" w:line="240" w:lineRule="auto"/>
              <w:jc w:val="right"/>
              <w:rPr>
                <w:rFonts w:eastAsia="Times New Roman" w:cstheme="minorHAnsi"/>
                <w:color w:val="000000"/>
                <w:lang w:eastAsia="es-AR"/>
              </w:rPr>
            </w:pPr>
            <w:r w:rsidRPr="00100856">
              <w:rPr>
                <w:rFonts w:eastAsia="Times New Roman" w:cstheme="minorHAnsi"/>
                <w:color w:val="000000"/>
                <w:lang w:eastAsia="es-AR"/>
              </w:rPr>
              <w:t>30</w:t>
            </w:r>
          </w:p>
        </w:tc>
        <w:tc>
          <w:tcPr>
            <w:tcW w:w="1474" w:type="dxa"/>
            <w:tcBorders>
              <w:top w:val="nil"/>
              <w:left w:val="nil"/>
              <w:bottom w:val="nil"/>
              <w:right w:val="nil"/>
            </w:tcBorders>
            <w:shd w:val="clear" w:color="000000" w:fill="FFFFFF"/>
            <w:noWrap/>
            <w:vAlign w:val="bottom"/>
            <w:hideMark/>
          </w:tcPr>
          <w:p w14:paraId="22C1D611"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80</w:t>
            </w:r>
          </w:p>
        </w:tc>
        <w:tc>
          <w:tcPr>
            <w:tcW w:w="2126" w:type="dxa"/>
            <w:tcBorders>
              <w:top w:val="nil"/>
              <w:left w:val="nil"/>
              <w:bottom w:val="nil"/>
              <w:right w:val="nil"/>
            </w:tcBorders>
            <w:shd w:val="clear" w:color="000000" w:fill="FFFFFF"/>
            <w:noWrap/>
            <w:vAlign w:val="bottom"/>
            <w:hideMark/>
          </w:tcPr>
          <w:p w14:paraId="013DFFFB"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3780</w:t>
            </w:r>
          </w:p>
        </w:tc>
        <w:tc>
          <w:tcPr>
            <w:tcW w:w="1701" w:type="dxa"/>
            <w:tcBorders>
              <w:top w:val="nil"/>
              <w:left w:val="nil"/>
              <w:bottom w:val="nil"/>
              <w:right w:val="nil"/>
            </w:tcBorders>
            <w:shd w:val="clear" w:color="000000" w:fill="FFFFFF"/>
            <w:noWrap/>
            <w:vAlign w:val="bottom"/>
            <w:hideMark/>
          </w:tcPr>
          <w:p w14:paraId="4291F455"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2015</w:t>
            </w:r>
          </w:p>
        </w:tc>
        <w:tc>
          <w:tcPr>
            <w:tcW w:w="1418" w:type="dxa"/>
            <w:tcBorders>
              <w:top w:val="nil"/>
              <w:left w:val="nil"/>
              <w:bottom w:val="nil"/>
              <w:right w:val="nil"/>
            </w:tcBorders>
            <w:shd w:val="clear" w:color="000000" w:fill="FFFFFF"/>
            <w:noWrap/>
            <w:vAlign w:val="bottom"/>
            <w:hideMark/>
          </w:tcPr>
          <w:p w14:paraId="74574AE7"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23</w:t>
            </w:r>
          </w:p>
        </w:tc>
      </w:tr>
      <w:tr w:rsidR="00142C60" w:rsidRPr="00100856" w14:paraId="4D8B4011" w14:textId="77777777" w:rsidTr="00592FD9">
        <w:trPr>
          <w:trHeight w:val="311"/>
        </w:trPr>
        <w:tc>
          <w:tcPr>
            <w:tcW w:w="1623" w:type="dxa"/>
            <w:tcBorders>
              <w:top w:val="nil"/>
              <w:left w:val="nil"/>
              <w:bottom w:val="nil"/>
              <w:right w:val="nil"/>
            </w:tcBorders>
            <w:shd w:val="clear" w:color="000000" w:fill="FFFFFF"/>
            <w:noWrap/>
            <w:vAlign w:val="bottom"/>
            <w:hideMark/>
          </w:tcPr>
          <w:p w14:paraId="0914A404" w14:textId="77777777" w:rsidR="00142C60" w:rsidRPr="00100856" w:rsidRDefault="00142C60" w:rsidP="00592FD9">
            <w:pPr>
              <w:spacing w:after="0" w:line="240" w:lineRule="auto"/>
              <w:rPr>
                <w:rFonts w:eastAsia="Times New Roman" w:cstheme="minorHAnsi"/>
                <w:color w:val="000000"/>
                <w:lang w:eastAsia="es-AR"/>
              </w:rPr>
            </w:pPr>
            <w:r w:rsidRPr="00100856">
              <w:rPr>
                <w:rFonts w:eastAsia="Times New Roman" w:cstheme="minorHAnsi"/>
                <w:color w:val="000000"/>
                <w:lang w:eastAsia="es-AR"/>
              </w:rPr>
              <w:t>Entre Ríos</w:t>
            </w:r>
          </w:p>
        </w:tc>
        <w:tc>
          <w:tcPr>
            <w:tcW w:w="447" w:type="dxa"/>
            <w:tcBorders>
              <w:top w:val="nil"/>
              <w:left w:val="nil"/>
              <w:bottom w:val="nil"/>
              <w:right w:val="nil"/>
            </w:tcBorders>
            <w:shd w:val="clear" w:color="000000" w:fill="FFFFFF"/>
            <w:noWrap/>
            <w:vAlign w:val="bottom"/>
            <w:hideMark/>
          </w:tcPr>
          <w:p w14:paraId="77E4F621" w14:textId="77777777" w:rsidR="00142C60" w:rsidRPr="00100856" w:rsidRDefault="00142C60" w:rsidP="00592FD9">
            <w:pPr>
              <w:spacing w:after="0" w:line="240" w:lineRule="auto"/>
              <w:jc w:val="right"/>
              <w:rPr>
                <w:rFonts w:eastAsia="Times New Roman" w:cstheme="minorHAnsi"/>
                <w:color w:val="000000"/>
                <w:lang w:eastAsia="es-AR"/>
              </w:rPr>
            </w:pPr>
            <w:r w:rsidRPr="00100856">
              <w:rPr>
                <w:rFonts w:eastAsia="Times New Roman" w:cstheme="minorHAnsi"/>
                <w:color w:val="000000"/>
                <w:lang w:eastAsia="es-AR"/>
              </w:rPr>
              <w:t>9</w:t>
            </w:r>
          </w:p>
        </w:tc>
        <w:tc>
          <w:tcPr>
            <w:tcW w:w="1474" w:type="dxa"/>
            <w:tcBorders>
              <w:top w:val="nil"/>
              <w:left w:val="nil"/>
              <w:bottom w:val="nil"/>
              <w:right w:val="nil"/>
            </w:tcBorders>
            <w:shd w:val="clear" w:color="000000" w:fill="FFFFFF"/>
            <w:noWrap/>
            <w:vAlign w:val="bottom"/>
            <w:hideMark/>
          </w:tcPr>
          <w:p w14:paraId="25C35789"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50</w:t>
            </w:r>
          </w:p>
        </w:tc>
        <w:tc>
          <w:tcPr>
            <w:tcW w:w="2126" w:type="dxa"/>
            <w:tcBorders>
              <w:top w:val="nil"/>
              <w:left w:val="nil"/>
              <w:bottom w:val="nil"/>
              <w:right w:val="nil"/>
            </w:tcBorders>
            <w:shd w:val="clear" w:color="000000" w:fill="FFFFFF"/>
            <w:noWrap/>
            <w:vAlign w:val="bottom"/>
            <w:hideMark/>
          </w:tcPr>
          <w:p w14:paraId="5201ECDF"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4000</w:t>
            </w:r>
          </w:p>
        </w:tc>
        <w:tc>
          <w:tcPr>
            <w:tcW w:w="1701" w:type="dxa"/>
            <w:tcBorders>
              <w:top w:val="nil"/>
              <w:left w:val="nil"/>
              <w:bottom w:val="nil"/>
              <w:right w:val="nil"/>
            </w:tcBorders>
            <w:shd w:val="clear" w:color="000000" w:fill="FFFFFF"/>
            <w:noWrap/>
            <w:vAlign w:val="bottom"/>
            <w:hideMark/>
          </w:tcPr>
          <w:p w14:paraId="2EE91981"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1260</w:t>
            </w:r>
          </w:p>
        </w:tc>
        <w:tc>
          <w:tcPr>
            <w:tcW w:w="1418" w:type="dxa"/>
            <w:tcBorders>
              <w:top w:val="nil"/>
              <w:left w:val="nil"/>
              <w:bottom w:val="nil"/>
              <w:right w:val="nil"/>
            </w:tcBorders>
            <w:shd w:val="clear" w:color="000000" w:fill="FFFFFF"/>
            <w:noWrap/>
            <w:vAlign w:val="bottom"/>
            <w:hideMark/>
          </w:tcPr>
          <w:p w14:paraId="3F843252"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17</w:t>
            </w:r>
          </w:p>
        </w:tc>
      </w:tr>
      <w:tr w:rsidR="00142C60" w:rsidRPr="00100856" w14:paraId="3ABCF788" w14:textId="77777777" w:rsidTr="00592FD9">
        <w:trPr>
          <w:trHeight w:val="311"/>
        </w:trPr>
        <w:tc>
          <w:tcPr>
            <w:tcW w:w="1623" w:type="dxa"/>
            <w:tcBorders>
              <w:top w:val="nil"/>
              <w:left w:val="nil"/>
              <w:bottom w:val="nil"/>
              <w:right w:val="nil"/>
            </w:tcBorders>
            <w:shd w:val="clear" w:color="000000" w:fill="FFFFFF"/>
            <w:noWrap/>
            <w:vAlign w:val="bottom"/>
            <w:hideMark/>
          </w:tcPr>
          <w:p w14:paraId="7225A291" w14:textId="77777777" w:rsidR="00142C60" w:rsidRPr="00100856" w:rsidRDefault="00142C60" w:rsidP="00592FD9">
            <w:pPr>
              <w:spacing w:after="0" w:line="240" w:lineRule="auto"/>
              <w:rPr>
                <w:rFonts w:eastAsia="Times New Roman" w:cstheme="minorHAnsi"/>
                <w:color w:val="000000"/>
                <w:lang w:eastAsia="es-AR"/>
              </w:rPr>
            </w:pPr>
            <w:r w:rsidRPr="00100856">
              <w:rPr>
                <w:rFonts w:eastAsia="Times New Roman" w:cstheme="minorHAnsi"/>
                <w:color w:val="000000"/>
                <w:lang w:eastAsia="es-AR"/>
              </w:rPr>
              <w:t>La Pampa</w:t>
            </w:r>
          </w:p>
        </w:tc>
        <w:tc>
          <w:tcPr>
            <w:tcW w:w="447" w:type="dxa"/>
            <w:tcBorders>
              <w:top w:val="nil"/>
              <w:left w:val="nil"/>
              <w:bottom w:val="nil"/>
              <w:right w:val="nil"/>
            </w:tcBorders>
            <w:shd w:val="clear" w:color="000000" w:fill="FFFFFF"/>
            <w:noWrap/>
            <w:vAlign w:val="bottom"/>
            <w:hideMark/>
          </w:tcPr>
          <w:p w14:paraId="28DA7F13" w14:textId="77777777" w:rsidR="00142C60" w:rsidRPr="00100856" w:rsidRDefault="00142C60" w:rsidP="00592FD9">
            <w:pPr>
              <w:spacing w:after="0" w:line="240" w:lineRule="auto"/>
              <w:jc w:val="right"/>
              <w:rPr>
                <w:rFonts w:eastAsia="Times New Roman" w:cstheme="minorHAnsi"/>
                <w:color w:val="000000"/>
                <w:lang w:eastAsia="es-AR"/>
              </w:rPr>
            </w:pPr>
            <w:r w:rsidRPr="00100856">
              <w:rPr>
                <w:rFonts w:eastAsia="Times New Roman" w:cstheme="minorHAnsi"/>
                <w:color w:val="000000"/>
                <w:lang w:eastAsia="es-AR"/>
              </w:rPr>
              <w:t>32</w:t>
            </w:r>
          </w:p>
        </w:tc>
        <w:tc>
          <w:tcPr>
            <w:tcW w:w="1474" w:type="dxa"/>
            <w:tcBorders>
              <w:top w:val="nil"/>
              <w:left w:val="nil"/>
              <w:bottom w:val="nil"/>
              <w:right w:val="nil"/>
            </w:tcBorders>
            <w:shd w:val="clear" w:color="000000" w:fill="FFFFFF"/>
            <w:noWrap/>
            <w:vAlign w:val="bottom"/>
            <w:hideMark/>
          </w:tcPr>
          <w:p w14:paraId="6149D30B"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30</w:t>
            </w:r>
          </w:p>
        </w:tc>
        <w:tc>
          <w:tcPr>
            <w:tcW w:w="2126" w:type="dxa"/>
            <w:tcBorders>
              <w:top w:val="nil"/>
              <w:left w:val="nil"/>
              <w:bottom w:val="nil"/>
              <w:right w:val="nil"/>
            </w:tcBorders>
            <w:shd w:val="clear" w:color="000000" w:fill="FFFFFF"/>
            <w:noWrap/>
            <w:vAlign w:val="bottom"/>
            <w:hideMark/>
          </w:tcPr>
          <w:p w14:paraId="68323059"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1270</w:t>
            </w:r>
          </w:p>
        </w:tc>
        <w:tc>
          <w:tcPr>
            <w:tcW w:w="1701" w:type="dxa"/>
            <w:tcBorders>
              <w:top w:val="nil"/>
              <w:left w:val="nil"/>
              <w:bottom w:val="nil"/>
              <w:right w:val="nil"/>
            </w:tcBorders>
            <w:shd w:val="clear" w:color="000000" w:fill="FFFFFF"/>
            <w:noWrap/>
            <w:vAlign w:val="bottom"/>
            <w:hideMark/>
          </w:tcPr>
          <w:p w14:paraId="6875C0FD"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425</w:t>
            </w:r>
          </w:p>
        </w:tc>
        <w:tc>
          <w:tcPr>
            <w:tcW w:w="1418" w:type="dxa"/>
            <w:tcBorders>
              <w:top w:val="nil"/>
              <w:left w:val="nil"/>
              <w:bottom w:val="nil"/>
              <w:right w:val="nil"/>
            </w:tcBorders>
            <w:shd w:val="clear" w:color="000000" w:fill="FFFFFF"/>
            <w:noWrap/>
            <w:vAlign w:val="bottom"/>
            <w:hideMark/>
          </w:tcPr>
          <w:p w14:paraId="08799104"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15</w:t>
            </w:r>
          </w:p>
        </w:tc>
      </w:tr>
      <w:tr w:rsidR="00142C60" w:rsidRPr="00100856" w14:paraId="363C59C3" w14:textId="77777777" w:rsidTr="00592FD9">
        <w:trPr>
          <w:trHeight w:val="311"/>
        </w:trPr>
        <w:tc>
          <w:tcPr>
            <w:tcW w:w="1623" w:type="dxa"/>
            <w:tcBorders>
              <w:top w:val="nil"/>
              <w:left w:val="nil"/>
              <w:bottom w:val="single" w:sz="4" w:space="0" w:color="auto"/>
              <w:right w:val="nil"/>
            </w:tcBorders>
            <w:shd w:val="clear" w:color="000000" w:fill="FFFFFF"/>
            <w:noWrap/>
            <w:vAlign w:val="bottom"/>
            <w:hideMark/>
          </w:tcPr>
          <w:p w14:paraId="7E70F545" w14:textId="77777777" w:rsidR="00142C60" w:rsidRPr="00100856" w:rsidRDefault="00142C60" w:rsidP="00592FD9">
            <w:pPr>
              <w:spacing w:after="0" w:line="240" w:lineRule="auto"/>
              <w:rPr>
                <w:rFonts w:eastAsia="Times New Roman" w:cstheme="minorHAnsi"/>
                <w:color w:val="000000"/>
                <w:lang w:eastAsia="es-AR"/>
              </w:rPr>
            </w:pPr>
            <w:r w:rsidRPr="00100856">
              <w:rPr>
                <w:rFonts w:eastAsia="Times New Roman" w:cstheme="minorHAnsi"/>
                <w:color w:val="000000"/>
                <w:lang w:eastAsia="es-AR"/>
              </w:rPr>
              <w:t>Santa Fe</w:t>
            </w:r>
          </w:p>
        </w:tc>
        <w:tc>
          <w:tcPr>
            <w:tcW w:w="447" w:type="dxa"/>
            <w:tcBorders>
              <w:top w:val="nil"/>
              <w:left w:val="nil"/>
              <w:bottom w:val="single" w:sz="4" w:space="0" w:color="auto"/>
              <w:right w:val="nil"/>
            </w:tcBorders>
            <w:shd w:val="clear" w:color="000000" w:fill="FFFFFF"/>
            <w:noWrap/>
            <w:vAlign w:val="bottom"/>
            <w:hideMark/>
          </w:tcPr>
          <w:p w14:paraId="4E7E423D" w14:textId="77777777" w:rsidR="00142C60" w:rsidRPr="00100856" w:rsidRDefault="00142C60" w:rsidP="00592FD9">
            <w:pPr>
              <w:spacing w:after="0" w:line="240" w:lineRule="auto"/>
              <w:jc w:val="right"/>
              <w:rPr>
                <w:rFonts w:eastAsia="Times New Roman" w:cstheme="minorHAnsi"/>
                <w:color w:val="000000"/>
                <w:lang w:eastAsia="es-AR"/>
              </w:rPr>
            </w:pPr>
            <w:r w:rsidRPr="00100856">
              <w:rPr>
                <w:rFonts w:eastAsia="Times New Roman" w:cstheme="minorHAnsi"/>
                <w:color w:val="000000"/>
                <w:lang w:eastAsia="es-AR"/>
              </w:rPr>
              <w:t>40</w:t>
            </w:r>
          </w:p>
        </w:tc>
        <w:tc>
          <w:tcPr>
            <w:tcW w:w="1474" w:type="dxa"/>
            <w:tcBorders>
              <w:top w:val="nil"/>
              <w:left w:val="nil"/>
              <w:bottom w:val="single" w:sz="4" w:space="0" w:color="auto"/>
              <w:right w:val="nil"/>
            </w:tcBorders>
            <w:shd w:val="clear" w:color="000000" w:fill="FFFFFF"/>
            <w:noWrap/>
            <w:vAlign w:val="bottom"/>
            <w:hideMark/>
          </w:tcPr>
          <w:p w14:paraId="5CC006D5"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30</w:t>
            </w:r>
          </w:p>
        </w:tc>
        <w:tc>
          <w:tcPr>
            <w:tcW w:w="2126" w:type="dxa"/>
            <w:tcBorders>
              <w:top w:val="nil"/>
              <w:left w:val="nil"/>
              <w:bottom w:val="single" w:sz="4" w:space="0" w:color="auto"/>
              <w:right w:val="nil"/>
            </w:tcBorders>
            <w:shd w:val="clear" w:color="000000" w:fill="FFFFFF"/>
            <w:noWrap/>
            <w:vAlign w:val="bottom"/>
            <w:hideMark/>
          </w:tcPr>
          <w:p w14:paraId="4DD31011"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3480</w:t>
            </w:r>
          </w:p>
        </w:tc>
        <w:tc>
          <w:tcPr>
            <w:tcW w:w="1701" w:type="dxa"/>
            <w:tcBorders>
              <w:top w:val="nil"/>
              <w:left w:val="nil"/>
              <w:bottom w:val="single" w:sz="4" w:space="0" w:color="auto"/>
              <w:right w:val="nil"/>
            </w:tcBorders>
            <w:shd w:val="clear" w:color="000000" w:fill="FFFFFF"/>
            <w:noWrap/>
            <w:vAlign w:val="bottom"/>
            <w:hideMark/>
          </w:tcPr>
          <w:p w14:paraId="351C2B3A"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943</w:t>
            </w:r>
          </w:p>
        </w:tc>
        <w:tc>
          <w:tcPr>
            <w:tcW w:w="1418" w:type="dxa"/>
            <w:tcBorders>
              <w:top w:val="nil"/>
              <w:left w:val="nil"/>
              <w:bottom w:val="single" w:sz="4" w:space="0" w:color="auto"/>
              <w:right w:val="nil"/>
            </w:tcBorders>
            <w:shd w:val="clear" w:color="000000" w:fill="FFFFFF"/>
            <w:noWrap/>
            <w:vAlign w:val="bottom"/>
            <w:hideMark/>
          </w:tcPr>
          <w:p w14:paraId="14B31BC0"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30</w:t>
            </w:r>
          </w:p>
        </w:tc>
      </w:tr>
    </w:tbl>
    <w:p w14:paraId="444C4C7B" w14:textId="77777777" w:rsidR="00142C60" w:rsidRDefault="00142C60" w:rsidP="00142C60">
      <w:pPr>
        <w:autoSpaceDE w:val="0"/>
        <w:autoSpaceDN w:val="0"/>
        <w:adjustRightInd w:val="0"/>
        <w:spacing w:after="0" w:line="240" w:lineRule="auto"/>
        <w:rPr>
          <w:rFonts w:cstheme="minorHAnsi"/>
        </w:rPr>
      </w:pPr>
    </w:p>
    <w:p w14:paraId="3E1EDED4" w14:textId="77777777" w:rsidR="00142C60" w:rsidRDefault="00142C60" w:rsidP="00142C60">
      <w:pPr>
        <w:rPr>
          <w:rFonts w:cstheme="minorHAnsi"/>
        </w:rPr>
      </w:pPr>
    </w:p>
    <w:p w14:paraId="4157442E" w14:textId="77777777" w:rsidR="00142C60" w:rsidRDefault="00142C60" w:rsidP="003279B8">
      <w:pPr>
        <w:jc w:val="both"/>
        <w:rPr>
          <w:rFonts w:cstheme="minorHAnsi"/>
        </w:rPr>
      </w:pPr>
      <w:r>
        <w:rPr>
          <w:rFonts w:cstheme="minorHAnsi"/>
        </w:rPr>
        <w:t xml:space="preserve">De este análisis surge </w:t>
      </w:r>
      <w:r w:rsidRPr="00142C60">
        <w:rPr>
          <w:rFonts w:cstheme="minorHAnsi"/>
        </w:rPr>
        <w:t xml:space="preserve">que los experimentos realizados en Santa Fe (principalmente el centro de Santa Fe) son de los que tienen la mayor eficiencia de uso del nitrógeno, entendido como el aumento de la producción de </w:t>
      </w:r>
      <w:r w:rsidRPr="00142C60">
        <w:rPr>
          <w:rFonts w:cstheme="minorHAnsi"/>
        </w:rPr>
        <w:lastRenderedPageBreak/>
        <w:t>materia seca (MS) por unidad de N aplicado</w:t>
      </w:r>
      <w:r>
        <w:rPr>
          <w:rFonts w:cstheme="minorHAnsi"/>
        </w:rPr>
        <w:t>. Hay una clara relación entr</w:t>
      </w:r>
      <w:r w:rsidR="003279B8">
        <w:rPr>
          <w:rFonts w:cstheme="minorHAnsi"/>
        </w:rPr>
        <w:t>e la EA</w:t>
      </w:r>
      <w:r>
        <w:rPr>
          <w:rFonts w:cstheme="minorHAnsi"/>
        </w:rPr>
        <w:t xml:space="preserve"> y el régimen climático de cada región.</w:t>
      </w:r>
      <w:r w:rsidR="003279B8">
        <w:rPr>
          <w:rFonts w:cstheme="minorHAnsi"/>
        </w:rPr>
        <w:t xml:space="preserve"> </w:t>
      </w:r>
      <w:r>
        <w:rPr>
          <w:rFonts w:cstheme="minorHAnsi"/>
        </w:rPr>
        <w:t>Los ensayos realizados tanto en avena como en raigrás anual han demostrado similares respuestas a la aplicación de N en el centro santafecino (Figura 1), por lo que la eficiencia de uso de N puede calcularse para estas dos especies en conjun</w:t>
      </w:r>
      <w:r w:rsidR="004658CC">
        <w:rPr>
          <w:rFonts w:cstheme="minorHAnsi"/>
        </w:rPr>
        <w:t>to</w:t>
      </w:r>
      <w:r>
        <w:rPr>
          <w:rFonts w:cstheme="minorHAnsi"/>
        </w:rPr>
        <w:t>.</w:t>
      </w:r>
    </w:p>
    <w:p w14:paraId="4BDF7865" w14:textId="77777777" w:rsidR="00142C60" w:rsidRDefault="004658CC" w:rsidP="00142C60">
      <w:pPr>
        <w:jc w:val="center"/>
        <w:rPr>
          <w:rFonts w:cstheme="minorHAnsi"/>
        </w:rPr>
      </w:pPr>
      <w:r>
        <w:rPr>
          <w:rFonts w:cstheme="minorHAnsi"/>
          <w:noProof/>
          <w:lang w:eastAsia="es-AR"/>
        </w:rPr>
        <w:drawing>
          <wp:inline distT="0" distB="0" distL="0" distR="0" wp14:anchorId="5D648D96" wp14:editId="75989426">
            <wp:extent cx="3509645" cy="23336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b="6484"/>
                    <a:stretch/>
                  </pic:blipFill>
                  <pic:spPr bwMode="auto">
                    <a:xfrm>
                      <a:off x="0" y="0"/>
                      <a:ext cx="3517216" cy="2338659"/>
                    </a:xfrm>
                    <a:prstGeom prst="rect">
                      <a:avLst/>
                    </a:prstGeom>
                    <a:noFill/>
                    <a:ln>
                      <a:noFill/>
                    </a:ln>
                    <a:extLst>
                      <a:ext uri="{53640926-AAD7-44D8-BBD7-CCE9431645EC}">
                        <a14:shadowObscured xmlns:a14="http://schemas.microsoft.com/office/drawing/2010/main"/>
                      </a:ext>
                    </a:extLst>
                  </pic:spPr>
                </pic:pic>
              </a:graphicData>
            </a:graphic>
          </wp:inline>
        </w:drawing>
      </w:r>
    </w:p>
    <w:p w14:paraId="571A92CE" w14:textId="77777777" w:rsidR="00142C60" w:rsidRPr="00100856" w:rsidRDefault="00142C60" w:rsidP="00142C60">
      <w:pPr>
        <w:rPr>
          <w:rFonts w:cstheme="minorHAnsi"/>
        </w:rPr>
      </w:pPr>
      <w:r>
        <w:rPr>
          <w:rFonts w:cstheme="minorHAnsi"/>
        </w:rPr>
        <w:t xml:space="preserve">Figura 1. Respuesta a la fertilización nitrogenada en avena y raigrás según dosis de N aplicada en el centro de Santa Fe. </w:t>
      </w:r>
    </w:p>
    <w:p w14:paraId="317EDA0E" w14:textId="77777777" w:rsidR="00142C60" w:rsidRPr="00100856" w:rsidRDefault="00142C60" w:rsidP="00142C60">
      <w:pPr>
        <w:autoSpaceDE w:val="0"/>
        <w:autoSpaceDN w:val="0"/>
        <w:adjustRightInd w:val="0"/>
        <w:spacing w:after="0" w:line="240" w:lineRule="auto"/>
        <w:rPr>
          <w:rFonts w:cstheme="minorHAnsi"/>
          <w:b/>
        </w:rPr>
      </w:pPr>
      <w:r w:rsidRPr="00100856">
        <w:rPr>
          <w:rFonts w:cstheme="minorHAnsi"/>
          <w:b/>
        </w:rPr>
        <w:t>Momento de aplicación</w:t>
      </w:r>
    </w:p>
    <w:p w14:paraId="6A80102B" w14:textId="77777777" w:rsidR="00142C60" w:rsidRPr="00100856" w:rsidRDefault="00142C60" w:rsidP="00142C60">
      <w:pPr>
        <w:autoSpaceDE w:val="0"/>
        <w:autoSpaceDN w:val="0"/>
        <w:adjustRightInd w:val="0"/>
        <w:spacing w:after="0" w:line="240" w:lineRule="auto"/>
        <w:rPr>
          <w:rFonts w:cstheme="minorHAnsi"/>
        </w:rPr>
      </w:pPr>
    </w:p>
    <w:p w14:paraId="4DF92D98" w14:textId="42D766D9" w:rsidR="00142C60" w:rsidRPr="00100856" w:rsidRDefault="00142C60" w:rsidP="003969C3">
      <w:pPr>
        <w:jc w:val="both"/>
        <w:rPr>
          <w:rFonts w:cstheme="minorHAnsi"/>
        </w:rPr>
      </w:pPr>
      <w:r w:rsidRPr="00100856">
        <w:rPr>
          <w:rFonts w:cstheme="minorHAnsi"/>
        </w:rPr>
        <w:t xml:space="preserve">En ausencia de limitaciones hídricas y de otros nutrientes, la máxima respuesta a la fertilización nitrogenada ocurre cuando la disponibilidad de formas asimilables de N en el suelo es escasa y la demanda de N del raigrás </w:t>
      </w:r>
      <w:r>
        <w:rPr>
          <w:rFonts w:cstheme="minorHAnsi"/>
        </w:rPr>
        <w:t>anual es elevada. En la Región P</w:t>
      </w:r>
      <w:r w:rsidR="00FB6A9F">
        <w:rPr>
          <w:rFonts w:cstheme="minorHAnsi"/>
        </w:rPr>
        <w:t>ampeana esto ocurre cuando el suelo tiene una baja temperatura y  el verdeo se encuentra en</w:t>
      </w:r>
      <w:r w:rsidRPr="00100856">
        <w:rPr>
          <w:rFonts w:cstheme="minorHAnsi"/>
        </w:rPr>
        <w:t xml:space="preserve"> crecimiento activo</w:t>
      </w:r>
      <w:r w:rsidR="003969C3">
        <w:rPr>
          <w:rFonts w:cstheme="minorHAnsi"/>
        </w:rPr>
        <w:t xml:space="preserve">. </w:t>
      </w:r>
      <w:r>
        <w:rPr>
          <w:rFonts w:cstheme="minorHAnsi"/>
        </w:rPr>
        <w:t>Por lo tanto, l</w:t>
      </w:r>
      <w:r w:rsidRPr="00100856">
        <w:rPr>
          <w:rFonts w:cstheme="minorHAnsi"/>
        </w:rPr>
        <w:t xml:space="preserve">a dosis y el momento </w:t>
      </w:r>
      <w:r w:rsidR="00BD1796" w:rsidRPr="00100856">
        <w:rPr>
          <w:rFonts w:cstheme="minorHAnsi"/>
        </w:rPr>
        <w:t>de aplicación</w:t>
      </w:r>
      <w:r w:rsidRPr="00100856">
        <w:rPr>
          <w:rFonts w:cstheme="minorHAnsi"/>
        </w:rPr>
        <w:t xml:space="preserve"> también ju</w:t>
      </w:r>
      <w:r>
        <w:rPr>
          <w:rFonts w:cstheme="minorHAnsi"/>
        </w:rPr>
        <w:t>e</w:t>
      </w:r>
      <w:r w:rsidRPr="00100856">
        <w:rPr>
          <w:rFonts w:cstheme="minorHAnsi"/>
        </w:rPr>
        <w:t>ga un rol import</w:t>
      </w:r>
      <w:r>
        <w:rPr>
          <w:rFonts w:cstheme="minorHAnsi"/>
        </w:rPr>
        <w:t>ante en la eficiencia de uso de</w:t>
      </w:r>
      <w:r w:rsidRPr="00100856">
        <w:rPr>
          <w:rFonts w:cstheme="minorHAnsi"/>
        </w:rPr>
        <w:t xml:space="preserve"> </w:t>
      </w:r>
      <w:r>
        <w:rPr>
          <w:rFonts w:cstheme="minorHAnsi"/>
        </w:rPr>
        <w:t>N</w:t>
      </w:r>
      <w:r w:rsidRPr="00100856">
        <w:rPr>
          <w:rFonts w:cstheme="minorHAnsi"/>
        </w:rPr>
        <w:t xml:space="preserve">. </w:t>
      </w:r>
      <w:r w:rsidR="00C04E28">
        <w:rPr>
          <w:rFonts w:cstheme="minorHAnsi"/>
        </w:rPr>
        <w:t>En la Figura 2</w:t>
      </w:r>
      <w:r w:rsidRPr="00100856">
        <w:rPr>
          <w:rFonts w:cstheme="minorHAnsi"/>
        </w:rPr>
        <w:t xml:space="preserve"> se </w:t>
      </w:r>
      <w:r w:rsidR="00C04E28">
        <w:rPr>
          <w:rFonts w:cstheme="minorHAnsi"/>
        </w:rPr>
        <w:t>muestra la relación entre la Eficiencia agronómica</w:t>
      </w:r>
      <w:r w:rsidRPr="00100856">
        <w:rPr>
          <w:rFonts w:cstheme="minorHAnsi"/>
        </w:rPr>
        <w:t xml:space="preserve"> y la dosis de fertilizante utilizado, ya sea con fertilizaciones a la siembra (puntos blancos</w:t>
      </w:r>
      <w:r>
        <w:rPr>
          <w:rFonts w:cstheme="minorHAnsi"/>
        </w:rPr>
        <w:t>) con</w:t>
      </w:r>
      <w:r w:rsidRPr="00100856">
        <w:rPr>
          <w:rFonts w:cstheme="minorHAnsi"/>
        </w:rPr>
        <w:t xml:space="preserve"> fertilizaciones divididas (parte a la siembra y parte </w:t>
      </w:r>
      <w:r w:rsidR="00FB6A9F">
        <w:rPr>
          <w:rFonts w:cstheme="minorHAnsi"/>
        </w:rPr>
        <w:t>en estado vegetativo</w:t>
      </w:r>
      <w:r w:rsidRPr="00100856">
        <w:rPr>
          <w:rFonts w:cstheme="minorHAnsi"/>
        </w:rPr>
        <w:t xml:space="preserve">, puntos negros). A medida que aumenta la dosis </w:t>
      </w:r>
      <w:r>
        <w:rPr>
          <w:rFonts w:cstheme="minorHAnsi"/>
        </w:rPr>
        <w:t xml:space="preserve">de N aplicada </w:t>
      </w:r>
      <w:r w:rsidR="00C04E28">
        <w:rPr>
          <w:rFonts w:cstheme="minorHAnsi"/>
        </w:rPr>
        <w:t>baja la eficiencia agronómica</w:t>
      </w:r>
      <w:r w:rsidRPr="00100856">
        <w:rPr>
          <w:rFonts w:cstheme="minorHAnsi"/>
        </w:rPr>
        <w:t>, siendo significativamente mayor para las dosis divididas que para las aplicaciones a la siembra. De manera que</w:t>
      </w:r>
      <w:r w:rsidR="00C04E28">
        <w:rPr>
          <w:rFonts w:cstheme="minorHAnsi"/>
        </w:rPr>
        <w:t xml:space="preserve"> se estimaron eficiencias agronómicas</w:t>
      </w:r>
      <w:r w:rsidRPr="00100856">
        <w:rPr>
          <w:rFonts w:cstheme="minorHAnsi"/>
        </w:rPr>
        <w:t xml:space="preserve"> para distintas dosis de N y momentos de aplicación en la </w:t>
      </w:r>
      <w:r w:rsidR="00C04E28">
        <w:rPr>
          <w:rFonts w:cstheme="minorHAnsi"/>
        </w:rPr>
        <w:t>Figura 3</w:t>
      </w:r>
      <w:r w:rsidRPr="00100856">
        <w:rPr>
          <w:rFonts w:cstheme="minorHAnsi"/>
        </w:rPr>
        <w:t>.</w:t>
      </w:r>
      <w:r w:rsidR="003969C3">
        <w:rPr>
          <w:rFonts w:cstheme="minorHAnsi"/>
        </w:rPr>
        <w:t xml:space="preserve"> El momento óptimo de fertilización también depende del manejo y la rotación. En rotaciones de tambo, con una</w:t>
      </w:r>
      <w:r w:rsidR="003969C3" w:rsidRPr="003969C3">
        <w:rPr>
          <w:rFonts w:cstheme="minorHAnsi"/>
        </w:rPr>
        <w:t xml:space="preserve"> fecha de siembra </w:t>
      </w:r>
      <w:r w:rsidR="003969C3">
        <w:rPr>
          <w:rFonts w:cstheme="minorHAnsi"/>
        </w:rPr>
        <w:t>e</w:t>
      </w:r>
      <w:r w:rsidR="003969C3" w:rsidRPr="003969C3">
        <w:rPr>
          <w:rFonts w:cstheme="minorHAnsi"/>
        </w:rPr>
        <w:t>n el rango optimo (última semana de febrero-primer semana de marzo</w:t>
      </w:r>
      <w:r w:rsidR="003969C3">
        <w:rPr>
          <w:rFonts w:cstheme="minorHAnsi"/>
        </w:rPr>
        <w:t xml:space="preserve">) un buen momento  para </w:t>
      </w:r>
      <w:r w:rsidR="003969C3" w:rsidRPr="003969C3">
        <w:rPr>
          <w:rFonts w:cstheme="minorHAnsi"/>
        </w:rPr>
        <w:t xml:space="preserve">la fertilización </w:t>
      </w:r>
      <w:r w:rsidR="003969C3">
        <w:rPr>
          <w:rFonts w:cstheme="minorHAnsi"/>
        </w:rPr>
        <w:t xml:space="preserve">es </w:t>
      </w:r>
      <w:r w:rsidR="003969C3" w:rsidRPr="003969C3">
        <w:rPr>
          <w:rFonts w:cstheme="minorHAnsi"/>
        </w:rPr>
        <w:t>a la siembra y post primer pastoreo</w:t>
      </w:r>
      <w:r w:rsidR="003969C3">
        <w:rPr>
          <w:rFonts w:cstheme="minorHAnsi"/>
        </w:rPr>
        <w:t>, aprovechando una mayor tasa de crecimiento otoñal. En estos sistemas, l</w:t>
      </w:r>
      <w:r w:rsidR="003969C3" w:rsidRPr="003969C3">
        <w:rPr>
          <w:rFonts w:cstheme="minorHAnsi"/>
        </w:rPr>
        <w:t>a fertilización hacia el final de</w:t>
      </w:r>
      <w:r w:rsidR="003969C3">
        <w:rPr>
          <w:rFonts w:cstheme="minorHAnsi"/>
        </w:rPr>
        <w:t>l verdeo (fines de agosto) es mas</w:t>
      </w:r>
      <w:r w:rsidR="003969C3" w:rsidRPr="003969C3">
        <w:rPr>
          <w:rFonts w:cstheme="minorHAnsi"/>
        </w:rPr>
        <w:t xml:space="preserve"> cuestionada ya que en </w:t>
      </w:r>
      <w:r w:rsidR="003969C3">
        <w:rPr>
          <w:rFonts w:cstheme="minorHAnsi"/>
        </w:rPr>
        <w:t xml:space="preserve">muchos </w:t>
      </w:r>
      <w:r w:rsidR="003969C3" w:rsidRPr="003969C3">
        <w:rPr>
          <w:rFonts w:cstheme="minorHAnsi"/>
        </w:rPr>
        <w:t xml:space="preserve">casos el cultivo siguiente es maíz para silo, </w:t>
      </w:r>
      <w:r w:rsidR="003969C3">
        <w:rPr>
          <w:rFonts w:cstheme="minorHAnsi"/>
        </w:rPr>
        <w:t xml:space="preserve">y es necesario liberar </w:t>
      </w:r>
      <w:r w:rsidR="003969C3" w:rsidRPr="003969C3">
        <w:rPr>
          <w:rFonts w:cstheme="minorHAnsi"/>
        </w:rPr>
        <w:t xml:space="preserve">el lote </w:t>
      </w:r>
      <w:r w:rsidR="003969C3">
        <w:rPr>
          <w:rFonts w:cstheme="minorHAnsi"/>
        </w:rPr>
        <w:t>en ese momento por lo que</w:t>
      </w:r>
      <w:r w:rsidR="003969C3" w:rsidRPr="003969C3">
        <w:rPr>
          <w:rFonts w:cstheme="minorHAnsi"/>
        </w:rPr>
        <w:t xml:space="preserve"> se estaría aprovechando poco la respuesta a la ferti</w:t>
      </w:r>
      <w:r w:rsidR="003969C3">
        <w:rPr>
          <w:rFonts w:cstheme="minorHAnsi"/>
        </w:rPr>
        <w:t>lización</w:t>
      </w:r>
      <w:r w:rsidR="003969C3" w:rsidRPr="003969C3">
        <w:rPr>
          <w:rFonts w:cstheme="minorHAnsi"/>
        </w:rPr>
        <w:t xml:space="preserve">. </w:t>
      </w:r>
      <w:r w:rsidR="003969C3">
        <w:rPr>
          <w:rFonts w:cstheme="minorHAnsi"/>
        </w:rPr>
        <w:t>En sistemas en donde los verdeos sean mas largos, se pueden aprovechar fertilizaciones tanto en otoño como en primavera.</w:t>
      </w:r>
    </w:p>
    <w:p w14:paraId="6B56F03D" w14:textId="77777777" w:rsidR="00142C60" w:rsidRPr="00100856" w:rsidRDefault="00142C60" w:rsidP="00142C60">
      <w:pPr>
        <w:rPr>
          <w:rFonts w:cstheme="minorHAnsi"/>
        </w:rPr>
      </w:pPr>
    </w:p>
    <w:p w14:paraId="014B5411" w14:textId="77777777" w:rsidR="00142C60" w:rsidRPr="00100856" w:rsidRDefault="00C04E28" w:rsidP="00142C60">
      <w:pPr>
        <w:jc w:val="center"/>
        <w:rPr>
          <w:rFonts w:cstheme="minorHAnsi"/>
        </w:rPr>
      </w:pPr>
      <w:r>
        <w:rPr>
          <w:rFonts w:cstheme="minorHAnsi"/>
          <w:noProof/>
          <w:lang w:eastAsia="es-AR"/>
        </w:rPr>
        <w:lastRenderedPageBreak/>
        <w:drawing>
          <wp:inline distT="0" distB="0" distL="0" distR="0" wp14:anchorId="79785BC7" wp14:editId="1965E9BD">
            <wp:extent cx="3613150" cy="2572429"/>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21099" cy="2578088"/>
                    </a:xfrm>
                    <a:prstGeom prst="rect">
                      <a:avLst/>
                    </a:prstGeom>
                    <a:noFill/>
                  </pic:spPr>
                </pic:pic>
              </a:graphicData>
            </a:graphic>
          </wp:inline>
        </w:drawing>
      </w:r>
    </w:p>
    <w:p w14:paraId="41E4C60D" w14:textId="77777777" w:rsidR="00142C60" w:rsidRPr="00100856" w:rsidRDefault="00C04E28" w:rsidP="00142C60">
      <w:pPr>
        <w:autoSpaceDE w:val="0"/>
        <w:autoSpaceDN w:val="0"/>
        <w:adjustRightInd w:val="0"/>
        <w:spacing w:after="0" w:line="240" w:lineRule="auto"/>
        <w:rPr>
          <w:rFonts w:cstheme="minorHAnsi"/>
        </w:rPr>
      </w:pPr>
      <w:r>
        <w:rPr>
          <w:rFonts w:cstheme="minorHAnsi"/>
        </w:rPr>
        <w:t>Figura 2</w:t>
      </w:r>
      <w:r w:rsidR="00142C60" w:rsidRPr="00100856">
        <w:rPr>
          <w:rFonts w:cstheme="minorHAnsi"/>
        </w:rPr>
        <w:t>. Efic</w:t>
      </w:r>
      <w:r>
        <w:rPr>
          <w:rFonts w:cstheme="minorHAnsi"/>
        </w:rPr>
        <w:t>iencia agronómica (kg MS/kg N</w:t>
      </w:r>
      <w:r w:rsidR="00142C60" w:rsidRPr="00100856">
        <w:rPr>
          <w:rFonts w:cstheme="minorHAnsi"/>
        </w:rPr>
        <w:t>) en función de la dosis y momentos de aplicación de fertilizante nitrogenado: a la siembra (puntos blancos, línea punteada) o dividida entre siembra y luego de uno o varios cortes (puntos negros, línea continua).  Elaborado a partir de re</w:t>
      </w:r>
      <w:r w:rsidR="00142C60">
        <w:rPr>
          <w:rFonts w:cstheme="minorHAnsi"/>
        </w:rPr>
        <w:t>visión de ensayos de la Región P</w:t>
      </w:r>
      <w:r w:rsidR="00142C60" w:rsidRPr="00100856">
        <w:rPr>
          <w:rFonts w:cstheme="minorHAnsi"/>
        </w:rPr>
        <w:t>ampeana (n=174).</w:t>
      </w:r>
      <w:r w:rsidR="004658CC">
        <w:rPr>
          <w:rFonts w:cstheme="minorHAnsi"/>
        </w:rPr>
        <w:t xml:space="preserve"> </w:t>
      </w:r>
    </w:p>
    <w:p w14:paraId="008EAB35" w14:textId="77777777" w:rsidR="00142C60" w:rsidRPr="00100856" w:rsidRDefault="00142C60" w:rsidP="00142C60">
      <w:pPr>
        <w:autoSpaceDE w:val="0"/>
        <w:autoSpaceDN w:val="0"/>
        <w:adjustRightInd w:val="0"/>
        <w:spacing w:after="0" w:line="240" w:lineRule="auto"/>
        <w:rPr>
          <w:rFonts w:cstheme="minorHAnsi"/>
        </w:rPr>
      </w:pPr>
    </w:p>
    <w:p w14:paraId="7C4ABDF5" w14:textId="77777777" w:rsidR="00142C60" w:rsidRPr="00100856" w:rsidRDefault="00C04E28" w:rsidP="00142C60">
      <w:pPr>
        <w:autoSpaceDE w:val="0"/>
        <w:autoSpaceDN w:val="0"/>
        <w:adjustRightInd w:val="0"/>
        <w:spacing w:after="0" w:line="240" w:lineRule="auto"/>
        <w:jc w:val="center"/>
        <w:rPr>
          <w:rFonts w:cstheme="minorHAnsi"/>
        </w:rPr>
      </w:pPr>
      <w:r>
        <w:rPr>
          <w:rFonts w:cstheme="minorHAnsi"/>
          <w:noProof/>
          <w:lang w:eastAsia="es-AR"/>
        </w:rPr>
        <w:drawing>
          <wp:inline distT="0" distB="0" distL="0" distR="0" wp14:anchorId="75C4C8A8" wp14:editId="1952BC6F">
            <wp:extent cx="3987165" cy="238491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00741" cy="2393039"/>
                    </a:xfrm>
                    <a:prstGeom prst="rect">
                      <a:avLst/>
                    </a:prstGeom>
                    <a:noFill/>
                  </pic:spPr>
                </pic:pic>
              </a:graphicData>
            </a:graphic>
          </wp:inline>
        </w:drawing>
      </w:r>
    </w:p>
    <w:p w14:paraId="5A665890" w14:textId="77777777" w:rsidR="00142C60" w:rsidRDefault="00C04E28" w:rsidP="00142C60">
      <w:pPr>
        <w:autoSpaceDE w:val="0"/>
        <w:autoSpaceDN w:val="0"/>
        <w:adjustRightInd w:val="0"/>
        <w:spacing w:after="0" w:line="240" w:lineRule="auto"/>
        <w:rPr>
          <w:rFonts w:cstheme="minorHAnsi"/>
        </w:rPr>
      </w:pPr>
      <w:r>
        <w:rPr>
          <w:rFonts w:cstheme="minorHAnsi"/>
        </w:rPr>
        <w:t>Figura 3</w:t>
      </w:r>
      <w:r w:rsidR="00142C60" w:rsidRPr="00100856">
        <w:rPr>
          <w:rFonts w:cstheme="minorHAnsi"/>
        </w:rPr>
        <w:t xml:space="preserve">. </w:t>
      </w:r>
      <w:r w:rsidRPr="00100856">
        <w:rPr>
          <w:rFonts w:cstheme="minorHAnsi"/>
        </w:rPr>
        <w:t>Efic</w:t>
      </w:r>
      <w:r>
        <w:rPr>
          <w:rFonts w:cstheme="minorHAnsi"/>
        </w:rPr>
        <w:t>iencia agronómica (kg MS/kg N</w:t>
      </w:r>
      <w:r w:rsidRPr="00100856">
        <w:rPr>
          <w:rFonts w:cstheme="minorHAnsi"/>
        </w:rPr>
        <w:t xml:space="preserve">) </w:t>
      </w:r>
      <w:r w:rsidR="00142C60" w:rsidRPr="00100856">
        <w:rPr>
          <w:rFonts w:cstheme="minorHAnsi"/>
        </w:rPr>
        <w:t>estimada para distintas dosis y momentos de aplicación de fertilizante: a la siembra (barras blancas) o dividida entre siembra y luego de uno o varios cortes (barras azules).</w:t>
      </w:r>
    </w:p>
    <w:p w14:paraId="23607BBC" w14:textId="77777777" w:rsidR="00142C60" w:rsidRPr="00100856" w:rsidRDefault="00142C60" w:rsidP="00142C60">
      <w:pPr>
        <w:autoSpaceDE w:val="0"/>
        <w:autoSpaceDN w:val="0"/>
        <w:adjustRightInd w:val="0"/>
        <w:spacing w:after="0" w:line="240" w:lineRule="auto"/>
        <w:rPr>
          <w:rFonts w:cstheme="minorHAnsi"/>
        </w:rPr>
      </w:pPr>
    </w:p>
    <w:p w14:paraId="47779298" w14:textId="78650AC8" w:rsidR="00142C60" w:rsidRDefault="00142C60" w:rsidP="00142C60">
      <w:pPr>
        <w:pStyle w:val="Default"/>
        <w:jc w:val="both"/>
        <w:rPr>
          <w:rFonts w:asciiTheme="minorHAnsi" w:hAnsiTheme="minorHAnsi" w:cstheme="minorHAnsi"/>
          <w:sz w:val="22"/>
          <w:szCs w:val="22"/>
        </w:rPr>
      </w:pPr>
      <w:r w:rsidRPr="00100856">
        <w:rPr>
          <w:rFonts w:asciiTheme="minorHAnsi" w:hAnsiTheme="minorHAnsi" w:cstheme="minorHAnsi"/>
          <w:sz w:val="22"/>
          <w:szCs w:val="22"/>
        </w:rPr>
        <w:t>A pesar de la mayor eficiencia de la aplicación de N al final del invierno, la fertilización otoñal para obtener más forraje en pleno invierno siempre es una alternativa atractiva en cualquier sistema de producción. En este caso, las respuestas a la fertilización a la siembra en otoño se expresan en las dos o tres primeras utilizaciones, desapareciendo prácticamente su efecto al final de la temp</w:t>
      </w:r>
      <w:r>
        <w:rPr>
          <w:rFonts w:asciiTheme="minorHAnsi" w:hAnsiTheme="minorHAnsi" w:cstheme="minorHAnsi"/>
          <w:sz w:val="22"/>
          <w:szCs w:val="22"/>
        </w:rPr>
        <w:t xml:space="preserve">orada de crecimiento de los verdeos. </w:t>
      </w:r>
      <w:r w:rsidRPr="00100856">
        <w:rPr>
          <w:rFonts w:asciiTheme="minorHAnsi" w:hAnsiTheme="minorHAnsi" w:cstheme="minorHAnsi"/>
          <w:sz w:val="22"/>
          <w:szCs w:val="22"/>
        </w:rPr>
        <w:t>Por otro lado, la mayor disponibilidad de N mineral en los primeros estadios con siembra convencional determina que la producción inicial de raigrás anual sea mayor que con siembra directa. En el mismo sentido, en años favorables par</w:t>
      </w:r>
      <w:r w:rsidR="00C04E28">
        <w:rPr>
          <w:rFonts w:asciiTheme="minorHAnsi" w:hAnsiTheme="minorHAnsi" w:cstheme="minorHAnsi"/>
          <w:sz w:val="22"/>
          <w:szCs w:val="22"/>
        </w:rPr>
        <w:t>a el crecimiento de las forrajeras</w:t>
      </w:r>
      <w:r w:rsidRPr="00100856">
        <w:rPr>
          <w:rFonts w:asciiTheme="minorHAnsi" w:hAnsiTheme="minorHAnsi" w:cstheme="minorHAnsi"/>
          <w:sz w:val="22"/>
          <w:szCs w:val="22"/>
        </w:rPr>
        <w:t xml:space="preserve">, la respuesta a la fertilización y la eficiencia de uso del N por el raigrás es mayor con siembra directa que con siembra convencional. Esto se debe a la baja disponibilidad de formas </w:t>
      </w:r>
      <w:r w:rsidRPr="00100856">
        <w:rPr>
          <w:rFonts w:asciiTheme="minorHAnsi" w:hAnsiTheme="minorHAnsi" w:cstheme="minorHAnsi"/>
          <w:sz w:val="22"/>
          <w:szCs w:val="22"/>
        </w:rPr>
        <w:lastRenderedPageBreak/>
        <w:t>asimilables d</w:t>
      </w:r>
      <w:r>
        <w:rPr>
          <w:rFonts w:asciiTheme="minorHAnsi" w:hAnsiTheme="minorHAnsi" w:cstheme="minorHAnsi"/>
          <w:sz w:val="22"/>
          <w:szCs w:val="22"/>
        </w:rPr>
        <w:t xml:space="preserve">e N mineral con siembra directa. </w:t>
      </w:r>
      <w:r w:rsidR="00B803BD">
        <w:rPr>
          <w:rFonts w:asciiTheme="minorHAnsi" w:hAnsiTheme="minorHAnsi" w:cstheme="minorHAnsi"/>
          <w:sz w:val="22"/>
          <w:szCs w:val="22"/>
        </w:rPr>
        <w:t xml:space="preserve">Los verdeos </w:t>
      </w:r>
      <w:r w:rsidR="00B803BD" w:rsidRPr="00100856">
        <w:rPr>
          <w:rFonts w:asciiTheme="minorHAnsi" w:hAnsiTheme="minorHAnsi" w:cstheme="minorHAnsi"/>
          <w:sz w:val="22"/>
          <w:szCs w:val="22"/>
        </w:rPr>
        <w:t>sembrado</w:t>
      </w:r>
      <w:r w:rsidR="00B803BD">
        <w:rPr>
          <w:rFonts w:asciiTheme="minorHAnsi" w:hAnsiTheme="minorHAnsi" w:cstheme="minorHAnsi"/>
          <w:sz w:val="22"/>
          <w:szCs w:val="22"/>
        </w:rPr>
        <w:t>s en</w:t>
      </w:r>
      <w:r w:rsidR="00B803BD" w:rsidRPr="00100856">
        <w:rPr>
          <w:rFonts w:asciiTheme="minorHAnsi" w:hAnsiTheme="minorHAnsi" w:cstheme="minorHAnsi"/>
          <w:sz w:val="22"/>
          <w:szCs w:val="22"/>
        </w:rPr>
        <w:t xml:space="preserve"> directa deben</w:t>
      </w:r>
      <w:r w:rsidRPr="00100856">
        <w:rPr>
          <w:rFonts w:asciiTheme="minorHAnsi" w:hAnsiTheme="minorHAnsi" w:cstheme="minorHAnsi"/>
          <w:sz w:val="22"/>
          <w:szCs w:val="22"/>
        </w:rPr>
        <w:t xml:space="preserve"> ser fertilizado con altas dosis para alcanzar una acumulación de forraje similar a la de un </w:t>
      </w:r>
      <w:r>
        <w:rPr>
          <w:rFonts w:asciiTheme="minorHAnsi" w:hAnsiTheme="minorHAnsi" w:cstheme="minorHAnsi"/>
          <w:sz w:val="22"/>
          <w:szCs w:val="22"/>
        </w:rPr>
        <w:t>verdeo</w:t>
      </w:r>
      <w:r w:rsidRPr="00100856">
        <w:rPr>
          <w:rFonts w:asciiTheme="minorHAnsi" w:hAnsiTheme="minorHAnsi" w:cstheme="minorHAnsi"/>
          <w:sz w:val="22"/>
          <w:szCs w:val="22"/>
        </w:rPr>
        <w:t xml:space="preserve"> se</w:t>
      </w:r>
      <w:r>
        <w:rPr>
          <w:rFonts w:asciiTheme="minorHAnsi" w:hAnsiTheme="minorHAnsi" w:cstheme="minorHAnsi"/>
          <w:sz w:val="22"/>
          <w:szCs w:val="22"/>
        </w:rPr>
        <w:t>mbrado con laboreo convencional.</w:t>
      </w:r>
    </w:p>
    <w:p w14:paraId="513FAD01" w14:textId="77777777" w:rsidR="00C04E28" w:rsidRPr="00100856" w:rsidRDefault="00C04E28" w:rsidP="00142C60">
      <w:pPr>
        <w:pStyle w:val="Default"/>
        <w:jc w:val="both"/>
        <w:rPr>
          <w:rFonts w:asciiTheme="minorHAnsi" w:hAnsiTheme="minorHAnsi" w:cstheme="minorHAnsi"/>
          <w:sz w:val="22"/>
          <w:szCs w:val="22"/>
        </w:rPr>
      </w:pPr>
    </w:p>
    <w:p w14:paraId="12DCECC3" w14:textId="77777777" w:rsidR="00142C60" w:rsidRPr="004658CC" w:rsidRDefault="004658CC" w:rsidP="00142C60">
      <w:pPr>
        <w:pStyle w:val="Default"/>
        <w:jc w:val="both"/>
        <w:rPr>
          <w:rFonts w:asciiTheme="minorHAnsi" w:hAnsiTheme="minorHAnsi" w:cstheme="minorHAnsi"/>
          <w:b/>
          <w:color w:val="auto"/>
          <w:sz w:val="22"/>
          <w:szCs w:val="22"/>
        </w:rPr>
      </w:pPr>
      <w:r w:rsidRPr="004658CC">
        <w:rPr>
          <w:rFonts w:asciiTheme="minorHAnsi" w:hAnsiTheme="minorHAnsi" w:cstheme="minorHAnsi"/>
          <w:b/>
          <w:color w:val="auto"/>
          <w:sz w:val="22"/>
          <w:szCs w:val="22"/>
        </w:rPr>
        <w:t>Régimen hídrico</w:t>
      </w:r>
    </w:p>
    <w:p w14:paraId="4073AFCF" w14:textId="77777777" w:rsidR="004658CC" w:rsidRDefault="004658CC" w:rsidP="00142C60">
      <w:pPr>
        <w:pStyle w:val="Default"/>
        <w:jc w:val="both"/>
        <w:rPr>
          <w:rFonts w:asciiTheme="minorHAnsi" w:hAnsiTheme="minorHAnsi" w:cstheme="minorHAnsi"/>
          <w:color w:val="auto"/>
          <w:sz w:val="22"/>
          <w:szCs w:val="22"/>
        </w:rPr>
      </w:pPr>
    </w:p>
    <w:p w14:paraId="312C702B" w14:textId="77777777" w:rsidR="004658CC" w:rsidRDefault="00602E2A" w:rsidP="00142C60">
      <w:pPr>
        <w:pStyle w:val="Default"/>
        <w:jc w:val="both"/>
        <w:rPr>
          <w:rFonts w:asciiTheme="minorHAnsi" w:hAnsiTheme="minorHAnsi" w:cstheme="minorHAnsi"/>
          <w:color w:val="auto"/>
          <w:sz w:val="22"/>
          <w:szCs w:val="22"/>
        </w:rPr>
      </w:pPr>
      <w:r>
        <w:rPr>
          <w:rFonts w:asciiTheme="minorHAnsi" w:hAnsiTheme="minorHAnsi" w:cstheme="minorHAnsi"/>
          <w:color w:val="auto"/>
          <w:sz w:val="22"/>
          <w:szCs w:val="22"/>
        </w:rPr>
        <w:t>Como fue mencionado, las máximas respuestas a la fertilización nitrogenada se dan sin limitantes hídricas. Sin embargo en la Región Pampeana el agua limita la producción en verdeos de invierno. La gran mayoría de ensayos recopilados para este artículo no presentan datos de lluvias, por lo que los datos fueron particionados según el régimen hídrico de la localidad en donde fueron realizados. Se encontró que l</w:t>
      </w:r>
      <w:r w:rsidR="004658CC">
        <w:rPr>
          <w:rFonts w:asciiTheme="minorHAnsi" w:hAnsiTheme="minorHAnsi" w:cstheme="minorHAnsi"/>
          <w:color w:val="auto"/>
          <w:sz w:val="22"/>
          <w:szCs w:val="22"/>
        </w:rPr>
        <w:t>a eficiencia</w:t>
      </w:r>
      <w:r>
        <w:rPr>
          <w:rFonts w:asciiTheme="minorHAnsi" w:hAnsiTheme="minorHAnsi" w:cstheme="minorHAnsi"/>
          <w:color w:val="auto"/>
          <w:sz w:val="22"/>
          <w:szCs w:val="22"/>
        </w:rPr>
        <w:t xml:space="preserve"> agronómica depende del régimen hídrico. Las máximas eficiencias se encontraron en los climas húmedos, siendo un 52% menores las eficiencias en la zona semiárida. Ambas con caídas importantes en la eficiencia a mayor dosis. Los sitios de regiones sub-húmedas presentaron un comportamiento intermedio con eficiencias mas equitativas entre dosis.  No se encontraron ejemplos de fertilización en casos de excesos hídricos.</w:t>
      </w:r>
    </w:p>
    <w:p w14:paraId="10D7DE8A" w14:textId="77777777" w:rsidR="004658CC" w:rsidRDefault="004658CC" w:rsidP="00142C60">
      <w:pPr>
        <w:pStyle w:val="Default"/>
        <w:jc w:val="both"/>
        <w:rPr>
          <w:rFonts w:asciiTheme="minorHAnsi" w:hAnsiTheme="minorHAnsi" w:cstheme="minorHAnsi"/>
          <w:color w:val="auto"/>
          <w:sz w:val="22"/>
          <w:szCs w:val="22"/>
        </w:rPr>
      </w:pPr>
    </w:p>
    <w:p w14:paraId="44812175" w14:textId="77777777" w:rsidR="004658CC" w:rsidRDefault="004658CC" w:rsidP="00142C60">
      <w:pPr>
        <w:pStyle w:val="Default"/>
        <w:jc w:val="both"/>
        <w:rPr>
          <w:rFonts w:asciiTheme="minorHAnsi" w:hAnsiTheme="minorHAnsi" w:cstheme="minorHAnsi"/>
          <w:color w:val="auto"/>
          <w:sz w:val="22"/>
          <w:szCs w:val="22"/>
        </w:rPr>
      </w:pPr>
      <w:r>
        <w:rPr>
          <w:rFonts w:asciiTheme="minorHAnsi" w:hAnsiTheme="minorHAnsi" w:cstheme="minorHAnsi"/>
          <w:noProof/>
          <w:color w:val="auto"/>
          <w:sz w:val="22"/>
          <w:szCs w:val="22"/>
          <w:lang w:eastAsia="es-AR"/>
        </w:rPr>
        <w:drawing>
          <wp:inline distT="0" distB="0" distL="0" distR="0" wp14:anchorId="1613BB47" wp14:editId="0E045B2D">
            <wp:extent cx="6047740" cy="206292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65205" cy="2068880"/>
                    </a:xfrm>
                    <a:prstGeom prst="rect">
                      <a:avLst/>
                    </a:prstGeom>
                    <a:noFill/>
                  </pic:spPr>
                </pic:pic>
              </a:graphicData>
            </a:graphic>
          </wp:inline>
        </w:drawing>
      </w:r>
    </w:p>
    <w:p w14:paraId="28ED70BA" w14:textId="77777777" w:rsidR="004658CC" w:rsidRDefault="004658CC" w:rsidP="00142C60">
      <w:pPr>
        <w:pStyle w:val="Default"/>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Figura </w:t>
      </w:r>
      <w:r w:rsidR="00602E2A">
        <w:rPr>
          <w:rFonts w:asciiTheme="minorHAnsi" w:hAnsiTheme="minorHAnsi" w:cstheme="minorHAnsi"/>
          <w:color w:val="auto"/>
          <w:sz w:val="22"/>
          <w:szCs w:val="22"/>
        </w:rPr>
        <w:t>4</w:t>
      </w:r>
      <w:r>
        <w:rPr>
          <w:rFonts w:asciiTheme="minorHAnsi" w:hAnsiTheme="minorHAnsi" w:cstheme="minorHAnsi"/>
          <w:color w:val="auto"/>
          <w:sz w:val="22"/>
          <w:szCs w:val="22"/>
        </w:rPr>
        <w:t xml:space="preserve">: </w:t>
      </w:r>
      <w:r w:rsidRPr="004658CC">
        <w:rPr>
          <w:rFonts w:asciiTheme="minorHAnsi" w:hAnsiTheme="minorHAnsi" w:cstheme="minorHAnsi"/>
          <w:color w:val="auto"/>
          <w:sz w:val="22"/>
          <w:szCs w:val="22"/>
        </w:rPr>
        <w:t xml:space="preserve">Eficiencia </w:t>
      </w:r>
      <w:r>
        <w:rPr>
          <w:rFonts w:asciiTheme="minorHAnsi" w:hAnsiTheme="minorHAnsi" w:cstheme="minorHAnsi"/>
          <w:color w:val="auto"/>
          <w:sz w:val="22"/>
          <w:szCs w:val="22"/>
        </w:rPr>
        <w:t>agronómica (kg MS/kg N</w:t>
      </w:r>
      <w:r w:rsidRPr="004658CC">
        <w:rPr>
          <w:rFonts w:asciiTheme="minorHAnsi" w:hAnsiTheme="minorHAnsi" w:cstheme="minorHAnsi"/>
          <w:color w:val="auto"/>
          <w:sz w:val="22"/>
          <w:szCs w:val="22"/>
        </w:rPr>
        <w:t>) en función de la dosis y momentos de aplicación de fertilizante nitrogenado: a la siembra (puntos blancos, línea punteada) o dividida entre siembra y luego de uno o varios cortes (puntos negros, línea continua).  Elaborado a partir de revisión de ensayos de la Región Pampeana (n=174).</w:t>
      </w:r>
    </w:p>
    <w:p w14:paraId="380A66A3" w14:textId="77777777" w:rsidR="00142C60" w:rsidRDefault="00142C60" w:rsidP="00142C60">
      <w:pPr>
        <w:autoSpaceDE w:val="0"/>
        <w:autoSpaceDN w:val="0"/>
        <w:adjustRightInd w:val="0"/>
        <w:spacing w:after="0" w:line="240" w:lineRule="auto"/>
        <w:rPr>
          <w:rFonts w:cstheme="minorHAnsi"/>
        </w:rPr>
      </w:pPr>
    </w:p>
    <w:p w14:paraId="0210579B" w14:textId="77777777" w:rsidR="00142C60" w:rsidRPr="00100856" w:rsidRDefault="00142C60" w:rsidP="00142C60">
      <w:pPr>
        <w:rPr>
          <w:rFonts w:cstheme="minorHAnsi"/>
          <w:b/>
          <w:bCs/>
        </w:rPr>
      </w:pPr>
      <w:r>
        <w:rPr>
          <w:rFonts w:cstheme="minorHAnsi"/>
          <w:b/>
          <w:bCs/>
        </w:rPr>
        <w:t xml:space="preserve">Efecto de la fertilización con N sobre </w:t>
      </w:r>
      <w:r w:rsidRPr="00100856">
        <w:rPr>
          <w:rFonts w:cstheme="minorHAnsi"/>
          <w:b/>
          <w:bCs/>
        </w:rPr>
        <w:t>la calidad</w:t>
      </w:r>
    </w:p>
    <w:p w14:paraId="47FD875C" w14:textId="77777777" w:rsidR="00142C60" w:rsidRPr="00B36CCA" w:rsidRDefault="00142C60" w:rsidP="00142C60">
      <w:pPr>
        <w:autoSpaceDE w:val="0"/>
        <w:autoSpaceDN w:val="0"/>
        <w:adjustRightInd w:val="0"/>
        <w:spacing w:after="0" w:line="240" w:lineRule="auto"/>
        <w:jc w:val="both"/>
        <w:rPr>
          <w:rFonts w:cstheme="minorHAnsi"/>
          <w:iCs/>
        </w:rPr>
      </w:pPr>
      <w:r w:rsidRPr="00100856">
        <w:rPr>
          <w:rFonts w:cstheme="minorHAnsi"/>
        </w:rPr>
        <w:t>Son pocos los experimentos que miden</w:t>
      </w:r>
      <w:r>
        <w:rPr>
          <w:rFonts w:cstheme="minorHAnsi"/>
        </w:rPr>
        <w:t xml:space="preserve"> el efecto de la fertilización s</w:t>
      </w:r>
      <w:r w:rsidRPr="00100856">
        <w:rPr>
          <w:rFonts w:cstheme="minorHAnsi"/>
        </w:rPr>
        <w:t>obre parámetros de calidad, como por ejemplo proteína bruta. Se agruparon todos los ensayos que incluían datos de proteína para analizar el efe</w:t>
      </w:r>
      <w:r w:rsidR="00602E2A">
        <w:rPr>
          <w:rFonts w:cstheme="minorHAnsi"/>
        </w:rPr>
        <w:t>cto de la fertilización (Tabla 3</w:t>
      </w:r>
      <w:r w:rsidRPr="00100856">
        <w:rPr>
          <w:rFonts w:cstheme="minorHAnsi"/>
        </w:rPr>
        <w:t xml:space="preserve">). La fertilización nitrogenada aumentó no solo la producción, sino también el contenido de proteína bruta de los verdeos en un 2.2 puntos respecto a los testigos. </w:t>
      </w:r>
      <w:r w:rsidRPr="00100856">
        <w:rPr>
          <w:rFonts w:cstheme="minorHAnsi"/>
          <w:iCs/>
        </w:rPr>
        <w:t>Mayores niveles de proteína bruta podrían mejorar la productividad animal, en condiciones no limitante de energía.</w:t>
      </w:r>
      <w:r w:rsidR="00084877">
        <w:rPr>
          <w:rFonts w:cstheme="minorHAnsi"/>
          <w:iCs/>
        </w:rPr>
        <w:t xml:space="preserve"> Según simulaciones realizadas en el NRC</w:t>
      </w:r>
      <w:r w:rsidR="00B36CCA">
        <w:rPr>
          <w:rFonts w:cstheme="minorHAnsi"/>
          <w:iCs/>
        </w:rPr>
        <w:t xml:space="preserve"> estos aumentos de proteína significan hasta un 3% más de leche por vaca.</w:t>
      </w:r>
    </w:p>
    <w:p w14:paraId="643EBB26" w14:textId="77777777" w:rsidR="00142C60" w:rsidRPr="00100856" w:rsidRDefault="00142C60" w:rsidP="00142C60">
      <w:pPr>
        <w:autoSpaceDE w:val="0"/>
        <w:autoSpaceDN w:val="0"/>
        <w:adjustRightInd w:val="0"/>
        <w:spacing w:after="0" w:line="240" w:lineRule="auto"/>
        <w:rPr>
          <w:rFonts w:cstheme="minorHAnsi"/>
        </w:rPr>
      </w:pPr>
    </w:p>
    <w:p w14:paraId="559E92C5" w14:textId="77777777" w:rsidR="00142C60" w:rsidRPr="00100856" w:rsidRDefault="00602E2A" w:rsidP="00142C60">
      <w:pPr>
        <w:rPr>
          <w:rFonts w:cstheme="minorHAnsi"/>
        </w:rPr>
      </w:pPr>
      <w:r>
        <w:rPr>
          <w:rFonts w:cstheme="minorHAnsi"/>
        </w:rPr>
        <w:t>Tabla 3</w:t>
      </w:r>
      <w:r w:rsidR="00142C60" w:rsidRPr="00100856">
        <w:rPr>
          <w:rFonts w:cstheme="minorHAnsi"/>
        </w:rPr>
        <w:t>. Efecto de la fertilización sobre el contenido de proteína bruta. n= número de datos; Dosis N= dosis media utilizada en los ensayos.</w:t>
      </w:r>
    </w:p>
    <w:tbl>
      <w:tblPr>
        <w:tblW w:w="5954" w:type="dxa"/>
        <w:jc w:val="center"/>
        <w:tblCellMar>
          <w:left w:w="70" w:type="dxa"/>
          <w:right w:w="70" w:type="dxa"/>
        </w:tblCellMar>
        <w:tblLook w:val="04A0" w:firstRow="1" w:lastRow="0" w:firstColumn="1" w:lastColumn="0" w:noHBand="0" w:noVBand="1"/>
      </w:tblPr>
      <w:tblGrid>
        <w:gridCol w:w="1320"/>
        <w:gridCol w:w="364"/>
        <w:gridCol w:w="1293"/>
        <w:gridCol w:w="1418"/>
        <w:gridCol w:w="1559"/>
      </w:tblGrid>
      <w:tr w:rsidR="00142C60" w:rsidRPr="00100856" w14:paraId="2C5297E0" w14:textId="77777777" w:rsidTr="00592FD9">
        <w:trPr>
          <w:trHeight w:val="600"/>
          <w:jc w:val="center"/>
        </w:trPr>
        <w:tc>
          <w:tcPr>
            <w:tcW w:w="1320" w:type="dxa"/>
            <w:tcBorders>
              <w:top w:val="nil"/>
              <w:left w:val="nil"/>
              <w:bottom w:val="single" w:sz="4" w:space="0" w:color="auto"/>
              <w:right w:val="nil"/>
            </w:tcBorders>
            <w:shd w:val="clear" w:color="000000" w:fill="FFFFFF"/>
            <w:noWrap/>
            <w:vAlign w:val="bottom"/>
            <w:hideMark/>
          </w:tcPr>
          <w:p w14:paraId="3F7173F8" w14:textId="77777777" w:rsidR="00142C60" w:rsidRPr="00100856" w:rsidRDefault="00142C60" w:rsidP="00592FD9">
            <w:pPr>
              <w:spacing w:after="0" w:line="240" w:lineRule="auto"/>
              <w:rPr>
                <w:rFonts w:eastAsia="Times New Roman" w:cstheme="minorHAnsi"/>
                <w:color w:val="000000"/>
                <w:lang w:eastAsia="es-AR"/>
              </w:rPr>
            </w:pPr>
            <w:r w:rsidRPr="00100856">
              <w:rPr>
                <w:rFonts w:eastAsia="Times New Roman" w:cstheme="minorHAnsi"/>
                <w:color w:val="000000"/>
                <w:lang w:eastAsia="es-AR"/>
              </w:rPr>
              <w:t>Tratamiento</w:t>
            </w:r>
          </w:p>
        </w:tc>
        <w:tc>
          <w:tcPr>
            <w:tcW w:w="364" w:type="dxa"/>
            <w:tcBorders>
              <w:top w:val="nil"/>
              <w:left w:val="nil"/>
              <w:bottom w:val="single" w:sz="4" w:space="0" w:color="auto"/>
              <w:right w:val="nil"/>
            </w:tcBorders>
            <w:shd w:val="clear" w:color="000000" w:fill="FFFFFF"/>
            <w:noWrap/>
            <w:vAlign w:val="bottom"/>
            <w:hideMark/>
          </w:tcPr>
          <w:p w14:paraId="7E7ADA37" w14:textId="77777777" w:rsidR="00142C60" w:rsidRPr="00100856" w:rsidRDefault="00142C60" w:rsidP="00592FD9">
            <w:pPr>
              <w:spacing w:after="0" w:line="240" w:lineRule="auto"/>
              <w:rPr>
                <w:rFonts w:eastAsia="Times New Roman" w:cstheme="minorHAnsi"/>
                <w:color w:val="000000"/>
                <w:lang w:eastAsia="es-AR"/>
              </w:rPr>
            </w:pPr>
            <w:r w:rsidRPr="00100856">
              <w:rPr>
                <w:rFonts w:eastAsia="Times New Roman" w:cstheme="minorHAnsi"/>
                <w:color w:val="000000"/>
                <w:lang w:eastAsia="es-AR"/>
              </w:rPr>
              <w:t>n</w:t>
            </w:r>
          </w:p>
        </w:tc>
        <w:tc>
          <w:tcPr>
            <w:tcW w:w="1293" w:type="dxa"/>
            <w:tcBorders>
              <w:top w:val="nil"/>
              <w:left w:val="nil"/>
              <w:bottom w:val="single" w:sz="4" w:space="0" w:color="auto"/>
              <w:right w:val="nil"/>
            </w:tcBorders>
            <w:shd w:val="clear" w:color="000000" w:fill="FFFFFF"/>
            <w:vAlign w:val="bottom"/>
            <w:hideMark/>
          </w:tcPr>
          <w:p w14:paraId="4A126A1D"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Dosis N (kg/ha)</w:t>
            </w:r>
          </w:p>
        </w:tc>
        <w:tc>
          <w:tcPr>
            <w:tcW w:w="1418" w:type="dxa"/>
            <w:tcBorders>
              <w:top w:val="nil"/>
              <w:left w:val="nil"/>
              <w:bottom w:val="single" w:sz="4" w:space="0" w:color="auto"/>
              <w:right w:val="nil"/>
            </w:tcBorders>
            <w:shd w:val="clear" w:color="000000" w:fill="FFFFFF"/>
            <w:vAlign w:val="bottom"/>
            <w:hideMark/>
          </w:tcPr>
          <w:p w14:paraId="3F7DB75F"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Producción (kg MS/ha)</w:t>
            </w:r>
          </w:p>
        </w:tc>
        <w:tc>
          <w:tcPr>
            <w:tcW w:w="1559" w:type="dxa"/>
            <w:tcBorders>
              <w:top w:val="nil"/>
              <w:left w:val="nil"/>
              <w:bottom w:val="single" w:sz="4" w:space="0" w:color="auto"/>
              <w:right w:val="nil"/>
            </w:tcBorders>
            <w:shd w:val="clear" w:color="000000" w:fill="FFFFFF"/>
            <w:vAlign w:val="bottom"/>
            <w:hideMark/>
          </w:tcPr>
          <w:p w14:paraId="54F0935F"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Proteína bruta (%)</w:t>
            </w:r>
          </w:p>
        </w:tc>
      </w:tr>
      <w:tr w:rsidR="00142C60" w:rsidRPr="00100856" w14:paraId="137A6CFE" w14:textId="77777777" w:rsidTr="00592FD9">
        <w:trPr>
          <w:trHeight w:val="300"/>
          <w:jc w:val="center"/>
        </w:trPr>
        <w:tc>
          <w:tcPr>
            <w:tcW w:w="1320" w:type="dxa"/>
            <w:tcBorders>
              <w:top w:val="nil"/>
              <w:left w:val="nil"/>
              <w:bottom w:val="nil"/>
              <w:right w:val="nil"/>
            </w:tcBorders>
            <w:shd w:val="clear" w:color="000000" w:fill="FFFFFF"/>
            <w:noWrap/>
            <w:vAlign w:val="bottom"/>
            <w:hideMark/>
          </w:tcPr>
          <w:p w14:paraId="77994995" w14:textId="77777777" w:rsidR="00142C60" w:rsidRPr="00100856" w:rsidRDefault="00142C60" w:rsidP="00592FD9">
            <w:pPr>
              <w:spacing w:after="0" w:line="240" w:lineRule="auto"/>
              <w:rPr>
                <w:rFonts w:eastAsia="Times New Roman" w:cstheme="minorHAnsi"/>
                <w:color w:val="000000"/>
                <w:lang w:eastAsia="es-AR"/>
              </w:rPr>
            </w:pPr>
            <w:r w:rsidRPr="00100856">
              <w:rPr>
                <w:rFonts w:eastAsia="Times New Roman" w:cstheme="minorHAnsi"/>
                <w:color w:val="000000"/>
                <w:lang w:eastAsia="es-AR"/>
              </w:rPr>
              <w:t>Testigo</w:t>
            </w:r>
          </w:p>
        </w:tc>
        <w:tc>
          <w:tcPr>
            <w:tcW w:w="364" w:type="dxa"/>
            <w:tcBorders>
              <w:top w:val="nil"/>
              <w:left w:val="nil"/>
              <w:bottom w:val="nil"/>
              <w:right w:val="nil"/>
            </w:tcBorders>
            <w:shd w:val="clear" w:color="000000" w:fill="FFFFFF"/>
            <w:noWrap/>
            <w:vAlign w:val="bottom"/>
            <w:hideMark/>
          </w:tcPr>
          <w:p w14:paraId="4EA8D7D5" w14:textId="77777777" w:rsidR="00142C60" w:rsidRPr="00100856" w:rsidRDefault="00142C60" w:rsidP="00592FD9">
            <w:pPr>
              <w:spacing w:after="0" w:line="240" w:lineRule="auto"/>
              <w:jc w:val="right"/>
              <w:rPr>
                <w:rFonts w:eastAsia="Times New Roman" w:cstheme="minorHAnsi"/>
                <w:color w:val="000000"/>
                <w:lang w:eastAsia="es-AR"/>
              </w:rPr>
            </w:pPr>
            <w:r w:rsidRPr="00100856">
              <w:rPr>
                <w:rFonts w:eastAsia="Times New Roman" w:cstheme="minorHAnsi"/>
                <w:color w:val="000000"/>
                <w:lang w:eastAsia="es-AR"/>
              </w:rPr>
              <w:t>14</w:t>
            </w:r>
          </w:p>
        </w:tc>
        <w:tc>
          <w:tcPr>
            <w:tcW w:w="1293" w:type="dxa"/>
            <w:tcBorders>
              <w:top w:val="nil"/>
              <w:left w:val="nil"/>
              <w:bottom w:val="nil"/>
              <w:right w:val="nil"/>
            </w:tcBorders>
            <w:shd w:val="clear" w:color="000000" w:fill="FFFFFF"/>
            <w:noWrap/>
            <w:vAlign w:val="bottom"/>
            <w:hideMark/>
          </w:tcPr>
          <w:p w14:paraId="3E6CE636"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0</w:t>
            </w:r>
          </w:p>
        </w:tc>
        <w:tc>
          <w:tcPr>
            <w:tcW w:w="1418" w:type="dxa"/>
            <w:tcBorders>
              <w:top w:val="nil"/>
              <w:left w:val="nil"/>
              <w:bottom w:val="nil"/>
              <w:right w:val="nil"/>
            </w:tcBorders>
            <w:shd w:val="clear" w:color="000000" w:fill="FFFFFF"/>
            <w:noWrap/>
            <w:vAlign w:val="bottom"/>
            <w:hideMark/>
          </w:tcPr>
          <w:p w14:paraId="72C88BAB"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2790</w:t>
            </w:r>
          </w:p>
        </w:tc>
        <w:tc>
          <w:tcPr>
            <w:tcW w:w="1559" w:type="dxa"/>
            <w:tcBorders>
              <w:top w:val="nil"/>
              <w:left w:val="nil"/>
              <w:bottom w:val="nil"/>
              <w:right w:val="nil"/>
            </w:tcBorders>
            <w:shd w:val="clear" w:color="000000" w:fill="FFFFFF"/>
            <w:noWrap/>
            <w:vAlign w:val="bottom"/>
            <w:hideMark/>
          </w:tcPr>
          <w:p w14:paraId="12A30819"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16.2</w:t>
            </w:r>
          </w:p>
        </w:tc>
      </w:tr>
      <w:tr w:rsidR="00142C60" w:rsidRPr="00100856" w14:paraId="4295B635" w14:textId="77777777" w:rsidTr="00592FD9">
        <w:trPr>
          <w:trHeight w:val="300"/>
          <w:jc w:val="center"/>
        </w:trPr>
        <w:tc>
          <w:tcPr>
            <w:tcW w:w="1320" w:type="dxa"/>
            <w:tcBorders>
              <w:top w:val="nil"/>
              <w:left w:val="nil"/>
              <w:bottom w:val="single" w:sz="4" w:space="0" w:color="auto"/>
              <w:right w:val="nil"/>
            </w:tcBorders>
            <w:shd w:val="clear" w:color="000000" w:fill="FFFFFF"/>
            <w:noWrap/>
            <w:vAlign w:val="bottom"/>
            <w:hideMark/>
          </w:tcPr>
          <w:p w14:paraId="5AB411CE" w14:textId="77777777" w:rsidR="00142C60" w:rsidRPr="00100856" w:rsidRDefault="00142C60" w:rsidP="00592FD9">
            <w:pPr>
              <w:spacing w:after="0" w:line="240" w:lineRule="auto"/>
              <w:rPr>
                <w:rFonts w:eastAsia="Times New Roman" w:cstheme="minorHAnsi"/>
                <w:color w:val="000000"/>
                <w:lang w:eastAsia="es-AR"/>
              </w:rPr>
            </w:pPr>
            <w:r w:rsidRPr="00100856">
              <w:rPr>
                <w:rFonts w:eastAsia="Times New Roman" w:cstheme="minorHAnsi"/>
                <w:color w:val="000000"/>
                <w:lang w:eastAsia="es-AR"/>
              </w:rPr>
              <w:t>Fertilizado</w:t>
            </w:r>
          </w:p>
        </w:tc>
        <w:tc>
          <w:tcPr>
            <w:tcW w:w="364" w:type="dxa"/>
            <w:tcBorders>
              <w:top w:val="nil"/>
              <w:left w:val="nil"/>
              <w:bottom w:val="single" w:sz="4" w:space="0" w:color="auto"/>
              <w:right w:val="nil"/>
            </w:tcBorders>
            <w:shd w:val="clear" w:color="000000" w:fill="FFFFFF"/>
            <w:noWrap/>
            <w:vAlign w:val="bottom"/>
            <w:hideMark/>
          </w:tcPr>
          <w:p w14:paraId="491BFB41" w14:textId="77777777" w:rsidR="00142C60" w:rsidRPr="00100856" w:rsidRDefault="00142C60" w:rsidP="00592FD9">
            <w:pPr>
              <w:spacing w:after="0" w:line="240" w:lineRule="auto"/>
              <w:jc w:val="right"/>
              <w:rPr>
                <w:rFonts w:eastAsia="Times New Roman" w:cstheme="minorHAnsi"/>
                <w:color w:val="000000"/>
                <w:lang w:eastAsia="es-AR"/>
              </w:rPr>
            </w:pPr>
            <w:r w:rsidRPr="00100856">
              <w:rPr>
                <w:rFonts w:eastAsia="Times New Roman" w:cstheme="minorHAnsi"/>
                <w:color w:val="000000"/>
                <w:lang w:eastAsia="es-AR"/>
              </w:rPr>
              <w:t>25</w:t>
            </w:r>
          </w:p>
        </w:tc>
        <w:tc>
          <w:tcPr>
            <w:tcW w:w="1293" w:type="dxa"/>
            <w:tcBorders>
              <w:top w:val="nil"/>
              <w:left w:val="nil"/>
              <w:bottom w:val="single" w:sz="4" w:space="0" w:color="auto"/>
              <w:right w:val="nil"/>
            </w:tcBorders>
            <w:shd w:val="clear" w:color="000000" w:fill="FFFFFF"/>
            <w:noWrap/>
            <w:vAlign w:val="bottom"/>
            <w:hideMark/>
          </w:tcPr>
          <w:p w14:paraId="5182CA46"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55</w:t>
            </w:r>
          </w:p>
        </w:tc>
        <w:tc>
          <w:tcPr>
            <w:tcW w:w="1418" w:type="dxa"/>
            <w:tcBorders>
              <w:top w:val="nil"/>
              <w:left w:val="nil"/>
              <w:bottom w:val="single" w:sz="4" w:space="0" w:color="auto"/>
              <w:right w:val="nil"/>
            </w:tcBorders>
            <w:shd w:val="clear" w:color="000000" w:fill="FFFFFF"/>
            <w:noWrap/>
            <w:vAlign w:val="bottom"/>
            <w:hideMark/>
          </w:tcPr>
          <w:p w14:paraId="2196BB38"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4320</w:t>
            </w:r>
          </w:p>
        </w:tc>
        <w:tc>
          <w:tcPr>
            <w:tcW w:w="1559" w:type="dxa"/>
            <w:tcBorders>
              <w:top w:val="nil"/>
              <w:left w:val="nil"/>
              <w:bottom w:val="single" w:sz="4" w:space="0" w:color="auto"/>
              <w:right w:val="nil"/>
            </w:tcBorders>
            <w:shd w:val="clear" w:color="000000" w:fill="FFFFFF"/>
            <w:noWrap/>
            <w:vAlign w:val="bottom"/>
            <w:hideMark/>
          </w:tcPr>
          <w:p w14:paraId="2E991A61"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18.4</w:t>
            </w:r>
          </w:p>
        </w:tc>
      </w:tr>
    </w:tbl>
    <w:p w14:paraId="047BE739" w14:textId="77777777" w:rsidR="00142C60" w:rsidRPr="00100856" w:rsidRDefault="00142C60" w:rsidP="00142C60">
      <w:pPr>
        <w:autoSpaceDE w:val="0"/>
        <w:autoSpaceDN w:val="0"/>
        <w:adjustRightInd w:val="0"/>
        <w:spacing w:after="0" w:line="240" w:lineRule="auto"/>
        <w:rPr>
          <w:rFonts w:cstheme="minorHAnsi"/>
        </w:rPr>
      </w:pPr>
    </w:p>
    <w:p w14:paraId="206232A0" w14:textId="77777777" w:rsidR="00142C60" w:rsidRDefault="00142C60" w:rsidP="00142C60">
      <w:pPr>
        <w:autoSpaceDE w:val="0"/>
        <w:autoSpaceDN w:val="0"/>
        <w:adjustRightInd w:val="0"/>
        <w:spacing w:after="0" w:line="240" w:lineRule="auto"/>
        <w:rPr>
          <w:rFonts w:cstheme="minorHAnsi"/>
        </w:rPr>
      </w:pPr>
    </w:p>
    <w:p w14:paraId="723CF173" w14:textId="77777777" w:rsidR="00142C60" w:rsidRPr="00B80E6B" w:rsidRDefault="00142C60" w:rsidP="00142C60">
      <w:pPr>
        <w:autoSpaceDE w:val="0"/>
        <w:autoSpaceDN w:val="0"/>
        <w:adjustRightInd w:val="0"/>
        <w:spacing w:after="0" w:line="240" w:lineRule="auto"/>
        <w:rPr>
          <w:rFonts w:cstheme="minorHAnsi"/>
          <w:b/>
        </w:rPr>
      </w:pPr>
      <w:r w:rsidRPr="00B80E6B">
        <w:rPr>
          <w:rFonts w:cstheme="minorHAnsi"/>
          <w:b/>
        </w:rPr>
        <w:t>Respuesta, altura y frecuencia de corte</w:t>
      </w:r>
    </w:p>
    <w:p w14:paraId="2707B400" w14:textId="77777777" w:rsidR="00142C60" w:rsidRPr="00100856" w:rsidRDefault="00142C60" w:rsidP="00142C60">
      <w:pPr>
        <w:pStyle w:val="Default"/>
        <w:rPr>
          <w:rFonts w:asciiTheme="minorHAnsi" w:hAnsiTheme="minorHAnsi" w:cstheme="minorHAnsi"/>
          <w:color w:val="auto"/>
          <w:sz w:val="22"/>
          <w:szCs w:val="22"/>
        </w:rPr>
      </w:pPr>
    </w:p>
    <w:p w14:paraId="6D913B24" w14:textId="77777777" w:rsidR="00142C60" w:rsidRPr="00100856" w:rsidRDefault="00142C60" w:rsidP="00142C60">
      <w:pPr>
        <w:jc w:val="both"/>
        <w:rPr>
          <w:rFonts w:cstheme="minorHAnsi"/>
        </w:rPr>
      </w:pPr>
      <w:r w:rsidRPr="00100856">
        <w:rPr>
          <w:rFonts w:cstheme="minorHAnsi"/>
        </w:rPr>
        <w:t xml:space="preserve">La respuesta a la fertilización depende de la frecuencia de </w:t>
      </w:r>
      <w:r>
        <w:rPr>
          <w:rFonts w:cstheme="minorHAnsi"/>
        </w:rPr>
        <w:t>pastoreo y de la altura del remanente</w:t>
      </w:r>
      <w:r w:rsidRPr="00100856">
        <w:rPr>
          <w:rFonts w:cstheme="minorHAnsi"/>
        </w:rPr>
        <w:t>.</w:t>
      </w:r>
      <w:r>
        <w:rPr>
          <w:rFonts w:cstheme="minorHAnsi"/>
        </w:rPr>
        <w:t xml:space="preserve"> Ensayos e</w:t>
      </w:r>
      <w:r w:rsidRPr="00100856">
        <w:rPr>
          <w:rFonts w:cstheme="minorHAnsi"/>
        </w:rPr>
        <w:t>n el noreste de la provincia de Buenos Aires,</w:t>
      </w:r>
      <w:r>
        <w:rPr>
          <w:rFonts w:cstheme="minorHAnsi"/>
        </w:rPr>
        <w:t xml:space="preserve"> demuestran que</w:t>
      </w:r>
      <w:r w:rsidRPr="00100856">
        <w:rPr>
          <w:rFonts w:cstheme="minorHAnsi"/>
        </w:rPr>
        <w:t xml:space="preserve"> la respuesta más elevad</w:t>
      </w:r>
      <w:r>
        <w:rPr>
          <w:rFonts w:cstheme="minorHAnsi"/>
        </w:rPr>
        <w:t>a a la fertilización con N</w:t>
      </w:r>
      <w:r w:rsidRPr="00100856">
        <w:rPr>
          <w:rFonts w:cstheme="minorHAnsi"/>
        </w:rPr>
        <w:t xml:space="preserve"> ocurre con </w:t>
      </w:r>
      <w:r>
        <w:rPr>
          <w:rFonts w:cstheme="minorHAnsi"/>
        </w:rPr>
        <w:t>menor frecuencia de corte (45 días), con respecto a cortes más frecuentes (cada 30</w:t>
      </w:r>
      <w:r w:rsidRPr="00100856">
        <w:rPr>
          <w:rFonts w:cstheme="minorHAnsi"/>
        </w:rPr>
        <w:t xml:space="preserve"> días), en las cuales el efecto del </w:t>
      </w:r>
      <w:r>
        <w:rPr>
          <w:rFonts w:cstheme="minorHAnsi"/>
        </w:rPr>
        <w:t>N</w:t>
      </w:r>
      <w:r w:rsidRPr="00100856">
        <w:rPr>
          <w:rFonts w:cstheme="minorHAnsi"/>
        </w:rPr>
        <w:t xml:space="preserve"> sobre el crecimiento aéreo no se </w:t>
      </w:r>
      <w:r>
        <w:rPr>
          <w:rFonts w:cstheme="minorHAnsi"/>
        </w:rPr>
        <w:t xml:space="preserve">alcanza a </w:t>
      </w:r>
      <w:r w:rsidRPr="00100856">
        <w:rPr>
          <w:rFonts w:cstheme="minorHAnsi"/>
        </w:rPr>
        <w:t>manifestar</w:t>
      </w:r>
      <w:r>
        <w:rPr>
          <w:rFonts w:cstheme="minorHAnsi"/>
        </w:rPr>
        <w:t xml:space="preserve"> (Figura 5). </w:t>
      </w:r>
      <w:r w:rsidRPr="00100856">
        <w:rPr>
          <w:rFonts w:cstheme="minorHAnsi"/>
        </w:rPr>
        <w:t xml:space="preserve"> </w:t>
      </w:r>
      <w:r>
        <w:rPr>
          <w:rFonts w:cstheme="minorHAnsi"/>
        </w:rPr>
        <w:t xml:space="preserve">Aunque también es cierto que </w:t>
      </w:r>
      <w:r w:rsidRPr="00100856">
        <w:rPr>
          <w:rFonts w:cstheme="minorHAnsi"/>
        </w:rPr>
        <w:t>se deberían evitar las defoliaciones muy espaciadas (cada 52 días) ya que, luego de alcanzar el rendimiento máximo, aumentan las pérdidas por senescencia que conducen</w:t>
      </w:r>
      <w:r>
        <w:rPr>
          <w:rFonts w:cstheme="minorHAnsi"/>
        </w:rPr>
        <w:t xml:space="preserve"> a bajas eficiencias</w:t>
      </w:r>
      <w:r w:rsidRPr="00100856">
        <w:rPr>
          <w:rFonts w:cstheme="minorHAnsi"/>
        </w:rPr>
        <w:t xml:space="preserve"> de uso del N (kg MS</w:t>
      </w:r>
      <w:r>
        <w:rPr>
          <w:rFonts w:cstheme="minorHAnsi"/>
        </w:rPr>
        <w:t>/</w:t>
      </w:r>
      <w:r w:rsidRPr="00100856">
        <w:rPr>
          <w:rFonts w:cstheme="minorHAnsi"/>
        </w:rPr>
        <w:t xml:space="preserve"> kg N).</w:t>
      </w:r>
    </w:p>
    <w:p w14:paraId="7796B76E" w14:textId="77777777" w:rsidR="00142C60" w:rsidRPr="00100856" w:rsidRDefault="00142C60" w:rsidP="00142C60">
      <w:pPr>
        <w:rPr>
          <w:rFonts w:cstheme="minorHAnsi"/>
        </w:rPr>
      </w:pPr>
    </w:p>
    <w:p w14:paraId="6C07F1C4" w14:textId="77777777" w:rsidR="00142C60" w:rsidRDefault="00142C60" w:rsidP="00142C60">
      <w:pPr>
        <w:jc w:val="center"/>
        <w:rPr>
          <w:rFonts w:cstheme="minorHAnsi"/>
        </w:rPr>
      </w:pPr>
      <w:r w:rsidRPr="00100856">
        <w:rPr>
          <w:rFonts w:cstheme="minorHAnsi"/>
          <w:noProof/>
          <w:lang w:eastAsia="es-AR"/>
        </w:rPr>
        <w:drawing>
          <wp:inline distT="0" distB="0" distL="0" distR="0" wp14:anchorId="582A92A8" wp14:editId="7449118B">
            <wp:extent cx="4595495" cy="2352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t="4376" b="5564"/>
                    <a:stretch/>
                  </pic:blipFill>
                  <pic:spPr bwMode="auto">
                    <a:xfrm>
                      <a:off x="0" y="0"/>
                      <a:ext cx="4610705" cy="2360462"/>
                    </a:xfrm>
                    <a:prstGeom prst="rect">
                      <a:avLst/>
                    </a:prstGeom>
                    <a:noFill/>
                    <a:ln>
                      <a:noFill/>
                    </a:ln>
                    <a:extLst>
                      <a:ext uri="{53640926-AAD7-44D8-BBD7-CCE9431645EC}">
                        <a14:shadowObscured xmlns:a14="http://schemas.microsoft.com/office/drawing/2010/main"/>
                      </a:ext>
                    </a:extLst>
                  </pic:spPr>
                </pic:pic>
              </a:graphicData>
            </a:graphic>
          </wp:inline>
        </w:drawing>
      </w:r>
    </w:p>
    <w:p w14:paraId="07D2E152" w14:textId="77777777" w:rsidR="00142C60" w:rsidRDefault="00142C60" w:rsidP="00142C60">
      <w:pPr>
        <w:rPr>
          <w:rFonts w:cstheme="minorHAnsi"/>
        </w:rPr>
      </w:pPr>
      <w:r>
        <w:rPr>
          <w:rFonts w:cstheme="minorHAnsi"/>
        </w:rPr>
        <w:t>Figura 5. Efecto de la dosis de nitrógeno, altura de corte y frecuencia de corte sobre la producción de materia seca de raigrás. Elaborado a partir de datos de Spara et al. 2009</w:t>
      </w:r>
      <w:r w:rsidR="00B36CCA">
        <w:rPr>
          <w:rFonts w:cstheme="minorHAnsi"/>
        </w:rPr>
        <w:t>.</w:t>
      </w:r>
    </w:p>
    <w:p w14:paraId="401AB6AB" w14:textId="77777777" w:rsidR="00142C60" w:rsidRPr="00100856" w:rsidRDefault="00142C60" w:rsidP="00142C60">
      <w:pPr>
        <w:rPr>
          <w:rFonts w:cstheme="minorHAnsi"/>
        </w:rPr>
      </w:pPr>
    </w:p>
    <w:p w14:paraId="5BDE9A95" w14:textId="77777777" w:rsidR="00142C60" w:rsidRPr="00DD475C" w:rsidRDefault="00142C60" w:rsidP="00142C60">
      <w:pPr>
        <w:rPr>
          <w:rFonts w:cstheme="minorHAnsi"/>
          <w:b/>
        </w:rPr>
      </w:pPr>
      <w:r w:rsidRPr="00DD475C">
        <w:rPr>
          <w:rFonts w:cstheme="minorHAnsi"/>
          <w:b/>
        </w:rPr>
        <w:t>Fuentes de Nitrógeno</w:t>
      </w:r>
    </w:p>
    <w:p w14:paraId="05DD2584" w14:textId="77777777" w:rsidR="00142C60" w:rsidRPr="00100856" w:rsidRDefault="00142C60" w:rsidP="00CE41E1">
      <w:pPr>
        <w:jc w:val="both"/>
        <w:rPr>
          <w:rFonts w:cstheme="minorHAnsi"/>
        </w:rPr>
      </w:pPr>
      <w:r w:rsidRPr="00195474">
        <w:rPr>
          <w:rFonts w:cstheme="minorHAnsi"/>
        </w:rPr>
        <w:t>Al momento de decidir que fuente de fertilizante conviene utilizar es necesario considerar, entre otras cosas, las</w:t>
      </w:r>
      <w:r>
        <w:rPr>
          <w:rFonts w:cstheme="minorHAnsi"/>
        </w:rPr>
        <w:t xml:space="preserve"> potenciales perdidas y  la toxicidad en la aplicación de la línea de siembra. </w:t>
      </w:r>
      <w:r w:rsidRPr="00195474">
        <w:rPr>
          <w:rFonts w:cstheme="minorHAnsi"/>
        </w:rPr>
        <w:t xml:space="preserve"> </w:t>
      </w:r>
      <w:r>
        <w:rPr>
          <w:rFonts w:cstheme="minorHAnsi"/>
        </w:rPr>
        <w:t>Por un lado la fuente de N utilizada tiene efectos sobre la disponib</w:t>
      </w:r>
      <w:r w:rsidR="00B36CCA">
        <w:rPr>
          <w:rFonts w:cstheme="minorHAnsi"/>
        </w:rPr>
        <w:t>i</w:t>
      </w:r>
      <w:r>
        <w:rPr>
          <w:rFonts w:cstheme="minorHAnsi"/>
        </w:rPr>
        <w:t>lidad y la su</w:t>
      </w:r>
      <w:r w:rsidR="00B36CCA">
        <w:rPr>
          <w:rFonts w:cstheme="minorHAnsi"/>
        </w:rPr>
        <w:t>sceptibilidad a pé</w:t>
      </w:r>
      <w:r>
        <w:rPr>
          <w:rFonts w:cstheme="minorHAnsi"/>
        </w:rPr>
        <w:t xml:space="preserve">rdidas, por ejemplo por volatilización. En Rafaela se han evaluado estas </w:t>
      </w:r>
      <w:r w:rsidR="00CE41E1">
        <w:rPr>
          <w:rFonts w:cstheme="minorHAnsi"/>
        </w:rPr>
        <w:t>pérdidas</w:t>
      </w:r>
      <w:r>
        <w:rPr>
          <w:rFonts w:cstheme="minorHAnsi"/>
        </w:rPr>
        <w:t xml:space="preserve"> a distintas dosis y fuentes de fertilizante, siendo la misma mayor a mayor dosis, y mayor en UREA respecto a UAN y CAN.</w:t>
      </w:r>
    </w:p>
    <w:p w14:paraId="0FF4F533" w14:textId="77777777" w:rsidR="00142C60" w:rsidRPr="00100856" w:rsidRDefault="00142C60" w:rsidP="00142C60">
      <w:pPr>
        <w:jc w:val="center"/>
        <w:rPr>
          <w:rFonts w:cstheme="minorHAnsi"/>
        </w:rPr>
      </w:pPr>
      <w:r w:rsidRPr="00100856">
        <w:rPr>
          <w:rFonts w:cstheme="minorHAnsi"/>
          <w:noProof/>
          <w:lang w:eastAsia="es-AR"/>
        </w:rPr>
        <w:lastRenderedPageBreak/>
        <w:drawing>
          <wp:inline distT="0" distB="0" distL="0" distR="0" wp14:anchorId="3232EB85" wp14:editId="6682280D">
            <wp:extent cx="3560016" cy="221932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72473" cy="2227091"/>
                    </a:xfrm>
                    <a:prstGeom prst="rect">
                      <a:avLst/>
                    </a:prstGeom>
                    <a:noFill/>
                  </pic:spPr>
                </pic:pic>
              </a:graphicData>
            </a:graphic>
          </wp:inline>
        </w:drawing>
      </w:r>
    </w:p>
    <w:p w14:paraId="436F5A80" w14:textId="77777777" w:rsidR="00142C60" w:rsidRDefault="00142C60" w:rsidP="00142C60">
      <w:pPr>
        <w:rPr>
          <w:rFonts w:cstheme="minorHAnsi"/>
        </w:rPr>
      </w:pPr>
      <w:r>
        <w:rPr>
          <w:rFonts w:cstheme="minorHAnsi"/>
        </w:rPr>
        <w:t>Figura 6. Volatilización acumulada de N en el cultivo de trigo según fuente y dosis utilizada. Adaptado de Fontanetto et al 2001.</w:t>
      </w:r>
    </w:p>
    <w:p w14:paraId="21EFCA73" w14:textId="77777777" w:rsidR="00142C60" w:rsidRPr="00100856" w:rsidRDefault="00142C60" w:rsidP="00142C60">
      <w:pPr>
        <w:rPr>
          <w:rFonts w:cstheme="minorHAnsi"/>
        </w:rPr>
      </w:pPr>
    </w:p>
    <w:p w14:paraId="0736717A" w14:textId="26E336CA" w:rsidR="00142C60" w:rsidRDefault="00142C60" w:rsidP="00CE41E1">
      <w:pPr>
        <w:jc w:val="both"/>
        <w:rPr>
          <w:rFonts w:cstheme="minorHAnsi"/>
        </w:rPr>
      </w:pPr>
      <w:r w:rsidRPr="003725BC">
        <w:rPr>
          <w:rFonts w:cstheme="minorHAnsi"/>
        </w:rPr>
        <w:t xml:space="preserve">Las sembradoras de siembra directa que no separan al fertilizante de la semilla durante la implantación de </w:t>
      </w:r>
      <w:r>
        <w:rPr>
          <w:rFonts w:cstheme="minorHAnsi"/>
        </w:rPr>
        <w:t>los verdes p</w:t>
      </w:r>
      <w:r w:rsidRPr="003725BC">
        <w:rPr>
          <w:rFonts w:cstheme="minorHAnsi"/>
        </w:rPr>
        <w:t>rovocan fitotoxicidad y muerte de plántulas cuando se sobrepasan ciertas dosis de urea (alrededor de 70 kg/ha).</w:t>
      </w:r>
      <w:r>
        <w:rPr>
          <w:rFonts w:cstheme="minorHAnsi"/>
        </w:rPr>
        <w:t xml:space="preserve"> Se ha evaluado en Rafaela el efecto de distintas dosis de N en forma de UREA o CAN. Se ha observado que el </w:t>
      </w:r>
      <w:r w:rsidR="00B22081">
        <w:rPr>
          <w:rFonts w:cstheme="minorHAnsi"/>
        </w:rPr>
        <w:t>número</w:t>
      </w:r>
      <w:r>
        <w:rPr>
          <w:rFonts w:cstheme="minorHAnsi"/>
        </w:rPr>
        <w:t xml:space="preserve"> de plantas es máximo a dosis de 20 kg</w:t>
      </w:r>
      <w:r w:rsidR="00B36CCA">
        <w:rPr>
          <w:rFonts w:cstheme="minorHAnsi"/>
        </w:rPr>
        <w:t xml:space="preserve"> </w:t>
      </w:r>
      <w:r>
        <w:rPr>
          <w:rFonts w:cstheme="minorHAnsi"/>
        </w:rPr>
        <w:t>N/ha</w:t>
      </w:r>
      <w:r w:rsidR="003969C3">
        <w:rPr>
          <w:rFonts w:cstheme="minorHAnsi"/>
        </w:rPr>
        <w:t>, independientemente de la fuente,</w:t>
      </w:r>
      <w:r>
        <w:rPr>
          <w:rFonts w:cstheme="minorHAnsi"/>
        </w:rPr>
        <w:t xml:space="preserve"> y disminuye al aumentar la dosis de N, siendo </w:t>
      </w:r>
      <w:r w:rsidR="00B22081">
        <w:rPr>
          <w:rFonts w:cstheme="minorHAnsi"/>
        </w:rPr>
        <w:t>más</w:t>
      </w:r>
      <w:r>
        <w:rPr>
          <w:rFonts w:cstheme="minorHAnsi"/>
        </w:rPr>
        <w:t xml:space="preserve"> importante la caída cuando se uti</w:t>
      </w:r>
      <w:r w:rsidR="00B22081">
        <w:rPr>
          <w:rFonts w:cstheme="minorHAnsi"/>
        </w:rPr>
        <w:t>liza UREA como fuente.</w:t>
      </w:r>
      <w:r w:rsidR="003969C3">
        <w:rPr>
          <w:rFonts w:cstheme="minorHAnsi"/>
        </w:rPr>
        <w:t xml:space="preserve"> Por lo</w:t>
      </w:r>
      <w:r w:rsidR="00B22081">
        <w:rPr>
          <w:rFonts w:cstheme="minorHAnsi"/>
        </w:rPr>
        <w:t xml:space="preserve"> tanto</w:t>
      </w:r>
      <w:r w:rsidR="003969C3">
        <w:rPr>
          <w:rFonts w:cstheme="minorHAnsi"/>
        </w:rPr>
        <w:t xml:space="preserve"> se recomienda no utilizar </w:t>
      </w:r>
      <w:r w:rsidR="00B22081">
        <w:rPr>
          <w:rFonts w:cstheme="minorHAnsi"/>
        </w:rPr>
        <w:t>más</w:t>
      </w:r>
      <w:r w:rsidR="003969C3">
        <w:rPr>
          <w:rFonts w:cstheme="minorHAnsi"/>
        </w:rPr>
        <w:t xml:space="preserve"> de 20</w:t>
      </w:r>
      <w:r w:rsidR="00B22081">
        <w:rPr>
          <w:rFonts w:cstheme="minorHAnsi"/>
        </w:rPr>
        <w:t xml:space="preserve"> kg N cuando se aplica fertilizante en la línea de siembra.</w:t>
      </w:r>
    </w:p>
    <w:p w14:paraId="4EAC04AD" w14:textId="77777777" w:rsidR="00142C60" w:rsidRPr="00100856" w:rsidRDefault="00142C60" w:rsidP="00142C60">
      <w:pPr>
        <w:rPr>
          <w:rFonts w:cstheme="minorHAnsi"/>
        </w:rPr>
      </w:pPr>
    </w:p>
    <w:p w14:paraId="383C32E5" w14:textId="5FA3D7D3" w:rsidR="00142C60" w:rsidRPr="00100856" w:rsidRDefault="004869BD" w:rsidP="00142C60">
      <w:pPr>
        <w:jc w:val="center"/>
        <w:rPr>
          <w:rFonts w:cstheme="minorHAnsi"/>
        </w:rPr>
      </w:pPr>
      <w:r>
        <w:rPr>
          <w:rFonts w:cstheme="minorHAnsi"/>
          <w:noProof/>
          <w:lang w:eastAsia="es-AR"/>
        </w:rPr>
        <w:drawing>
          <wp:inline distT="0" distB="0" distL="0" distR="0" wp14:anchorId="24B51C32" wp14:editId="0ACC6DFA">
            <wp:extent cx="4078605" cy="27495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78605" cy="2749550"/>
                    </a:xfrm>
                    <a:prstGeom prst="rect">
                      <a:avLst/>
                    </a:prstGeom>
                    <a:noFill/>
                  </pic:spPr>
                </pic:pic>
              </a:graphicData>
            </a:graphic>
          </wp:inline>
        </w:drawing>
      </w:r>
    </w:p>
    <w:p w14:paraId="7879510E" w14:textId="478EAB0C" w:rsidR="00142C60" w:rsidRPr="00100856" w:rsidRDefault="00142C60" w:rsidP="00142C60">
      <w:pPr>
        <w:rPr>
          <w:rFonts w:cstheme="minorHAnsi"/>
        </w:rPr>
      </w:pPr>
      <w:r>
        <w:rPr>
          <w:rFonts w:cstheme="minorHAnsi"/>
        </w:rPr>
        <w:t xml:space="preserve">Figura 7. </w:t>
      </w:r>
      <w:r w:rsidR="004869BD">
        <w:rPr>
          <w:rFonts w:cstheme="minorHAnsi"/>
        </w:rPr>
        <w:t>Efecto de la UREA</w:t>
      </w:r>
      <w:r w:rsidRPr="00100856">
        <w:rPr>
          <w:rFonts w:cstheme="minorHAnsi"/>
        </w:rPr>
        <w:t xml:space="preserve"> y el CAN (nitrato de amonio calcáreo) aplicados junto a la semilla sobre el número de plantas de avena emergidas. </w:t>
      </w:r>
      <w:r w:rsidR="004869BD">
        <w:rPr>
          <w:rFonts w:cstheme="minorHAnsi"/>
        </w:rPr>
        <w:t xml:space="preserve">Adaptado de </w:t>
      </w:r>
      <w:r w:rsidR="004869BD">
        <w:rPr>
          <w:rFonts w:cstheme="minorHAnsi"/>
          <w:lang w:val="pt-BR"/>
        </w:rPr>
        <w:t>Fontanetto, 2000.</w:t>
      </w:r>
    </w:p>
    <w:p w14:paraId="61278C6E" w14:textId="77777777" w:rsidR="00142C60" w:rsidRPr="00100856" w:rsidRDefault="00142C60" w:rsidP="00142C60">
      <w:pPr>
        <w:rPr>
          <w:rFonts w:cstheme="minorHAnsi"/>
        </w:rPr>
      </w:pPr>
    </w:p>
    <w:p w14:paraId="3749150B" w14:textId="77777777" w:rsidR="00142C60" w:rsidRDefault="003279B8" w:rsidP="00142C60">
      <w:pPr>
        <w:rPr>
          <w:rFonts w:cstheme="minorHAnsi"/>
        </w:rPr>
      </w:pPr>
      <w:r>
        <w:rPr>
          <w:rFonts w:cstheme="minorHAnsi"/>
        </w:rPr>
        <w:lastRenderedPageBreak/>
        <w:t xml:space="preserve">En la revisión realizada se encontró que en promedio en la región pampeana la eficiencia del UAN fue un 3% mayor que la UREA en una aplicación a la siembra, y un 1.5% mayor en aplicaciones divididas. El rendimiento con CAN fue un 12% mayor, y del SolMix un 4% mayor, estos aumentos independientes del momento de aplicación. </w:t>
      </w:r>
    </w:p>
    <w:p w14:paraId="1FBFF150" w14:textId="77777777" w:rsidR="00142C60" w:rsidRPr="00100856" w:rsidRDefault="00142C60" w:rsidP="00142C60">
      <w:pPr>
        <w:rPr>
          <w:rFonts w:cstheme="minorHAnsi"/>
          <w:b/>
        </w:rPr>
      </w:pPr>
      <w:r w:rsidRPr="00100856">
        <w:rPr>
          <w:rFonts w:cstheme="minorHAnsi"/>
          <w:b/>
        </w:rPr>
        <w:t>Fuentes orgánicas</w:t>
      </w:r>
    </w:p>
    <w:p w14:paraId="21993B98" w14:textId="0A600A28" w:rsidR="00142C60" w:rsidRDefault="00142C60" w:rsidP="00CE41E1">
      <w:pPr>
        <w:jc w:val="both"/>
        <w:rPr>
          <w:rFonts w:cstheme="minorHAnsi"/>
        </w:rPr>
      </w:pPr>
      <w:r>
        <w:rPr>
          <w:rFonts w:cstheme="minorHAnsi"/>
        </w:rPr>
        <w:t>Otra fuente nitrogenada disponible muchas veces en los establecimientos son las fuentes orgánicas, ya sea de efluentes del tambo, de cerdos, camas de pollo o barridos de corrales. Para</w:t>
      </w:r>
      <w:r w:rsidRPr="00100856">
        <w:rPr>
          <w:rFonts w:cstheme="minorHAnsi"/>
        </w:rPr>
        <w:t xml:space="preserve"> realizar una utilización planificada de efluentes es necesario realizar un análisis del</w:t>
      </w:r>
      <w:r>
        <w:rPr>
          <w:rFonts w:cstheme="minorHAnsi"/>
        </w:rPr>
        <w:t xml:space="preserve"> mismo y</w:t>
      </w:r>
      <w:r w:rsidRPr="00100856">
        <w:rPr>
          <w:rFonts w:cstheme="minorHAnsi"/>
        </w:rPr>
        <w:t xml:space="preserve"> del suelo</w:t>
      </w:r>
      <w:r>
        <w:rPr>
          <w:rFonts w:cstheme="minorHAnsi"/>
        </w:rPr>
        <w:t xml:space="preserve"> a aplicar</w:t>
      </w:r>
      <w:r w:rsidRPr="00100856">
        <w:rPr>
          <w:rFonts w:cstheme="minorHAnsi"/>
        </w:rPr>
        <w:t>.</w:t>
      </w:r>
      <w:r>
        <w:rPr>
          <w:rFonts w:cstheme="minorHAnsi"/>
        </w:rPr>
        <w:t xml:space="preserve"> </w:t>
      </w:r>
      <w:r w:rsidRPr="00100856">
        <w:rPr>
          <w:rFonts w:cstheme="minorHAnsi"/>
        </w:rPr>
        <w:t>En base a estos datos se puede estimar una dosis, teniendo</w:t>
      </w:r>
      <w:r>
        <w:rPr>
          <w:rFonts w:cstheme="minorHAnsi"/>
        </w:rPr>
        <w:t xml:space="preserve"> </w:t>
      </w:r>
      <w:r w:rsidRPr="00100856">
        <w:rPr>
          <w:rFonts w:cstheme="minorHAnsi"/>
        </w:rPr>
        <w:t>en cuenta que muchos de los nutrientes aportados se liberarán en el mediano y largo</w:t>
      </w:r>
      <w:r>
        <w:rPr>
          <w:rFonts w:cstheme="minorHAnsi"/>
        </w:rPr>
        <w:t xml:space="preserve"> </w:t>
      </w:r>
      <w:r w:rsidRPr="00100856">
        <w:rPr>
          <w:rFonts w:cstheme="minorHAnsi"/>
        </w:rPr>
        <w:t>plazo. En general se acuerda que la aplicación de efluente en forma líquida aporta</w:t>
      </w:r>
      <w:r>
        <w:rPr>
          <w:rFonts w:cstheme="minorHAnsi"/>
        </w:rPr>
        <w:t xml:space="preserve"> </w:t>
      </w:r>
      <w:r w:rsidRPr="00100856">
        <w:rPr>
          <w:rFonts w:cstheme="minorHAnsi"/>
        </w:rPr>
        <w:t>nutrientes en forma más inmediata que la aplicación en forma de sólidos.</w:t>
      </w:r>
      <w:r w:rsidR="00CE41E1">
        <w:rPr>
          <w:rFonts w:cstheme="minorHAnsi"/>
        </w:rPr>
        <w:t xml:space="preserve"> </w:t>
      </w:r>
      <w:r>
        <w:rPr>
          <w:rFonts w:cstheme="minorHAnsi"/>
        </w:rPr>
        <w:t>De la revisión de ensayos realizados con fuentes orgánicas de N surge que la eficiencia o aprovechamiento en los verde</w:t>
      </w:r>
      <w:r w:rsidR="00DB08B7">
        <w:rPr>
          <w:rFonts w:cstheme="minorHAnsi"/>
        </w:rPr>
        <w:t>os de invierno es baja (Figura 8</w:t>
      </w:r>
      <w:r>
        <w:rPr>
          <w:rFonts w:cstheme="minorHAnsi"/>
        </w:rPr>
        <w:t xml:space="preserve">), al menos en el primer año. </w:t>
      </w:r>
      <w:r w:rsidR="004869BD">
        <w:rPr>
          <w:rFonts w:cstheme="minorHAnsi"/>
        </w:rPr>
        <w:t xml:space="preserve">De realizarse una aplicación, la recomendación es realizar previo a la siembra, </w:t>
      </w:r>
      <w:r w:rsidR="00DB08B7">
        <w:rPr>
          <w:rFonts w:cstheme="minorHAnsi"/>
        </w:rPr>
        <w:t xml:space="preserve">para evitar riesgos sanitarios y </w:t>
      </w:r>
      <w:r w:rsidR="004869BD">
        <w:rPr>
          <w:rFonts w:cstheme="minorHAnsi"/>
        </w:rPr>
        <w:t xml:space="preserve">el </w:t>
      </w:r>
      <w:r w:rsidR="004869BD" w:rsidRPr="004869BD">
        <w:rPr>
          <w:rFonts w:cstheme="minorHAnsi"/>
        </w:rPr>
        <w:t xml:space="preserve">rechazo </w:t>
      </w:r>
      <w:r w:rsidR="004869BD">
        <w:rPr>
          <w:rFonts w:cstheme="minorHAnsi"/>
        </w:rPr>
        <w:t>a</w:t>
      </w:r>
      <w:r w:rsidR="004869BD" w:rsidRPr="004869BD">
        <w:rPr>
          <w:rFonts w:cstheme="minorHAnsi"/>
        </w:rPr>
        <w:t>l pastoreo por parte de los animales</w:t>
      </w:r>
      <w:r w:rsidR="00DB08B7">
        <w:rPr>
          <w:rFonts w:cstheme="minorHAnsi"/>
        </w:rPr>
        <w:t xml:space="preserve">, aunque estos últimos aspectos necesitan ser más investigados en la Región Pampeana. </w:t>
      </w:r>
    </w:p>
    <w:p w14:paraId="7E945B72" w14:textId="77777777" w:rsidR="00DB08B7" w:rsidRPr="00100856" w:rsidRDefault="00DB08B7" w:rsidP="00CE41E1">
      <w:pPr>
        <w:jc w:val="both"/>
        <w:rPr>
          <w:rFonts w:cstheme="minorHAnsi"/>
        </w:rPr>
      </w:pPr>
    </w:p>
    <w:p w14:paraId="0E8FEC2C" w14:textId="77777777" w:rsidR="00142C60" w:rsidRDefault="003279B8" w:rsidP="00142C60">
      <w:pPr>
        <w:jc w:val="center"/>
        <w:rPr>
          <w:rFonts w:cstheme="minorHAnsi"/>
        </w:rPr>
      </w:pPr>
      <w:r>
        <w:rPr>
          <w:rFonts w:cstheme="minorHAnsi"/>
          <w:noProof/>
          <w:lang w:eastAsia="es-AR"/>
        </w:rPr>
        <w:drawing>
          <wp:inline distT="0" distB="0" distL="0" distR="0" wp14:anchorId="0296B7EB" wp14:editId="6B1A5D01">
            <wp:extent cx="3752850" cy="2697098"/>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82055" cy="2718087"/>
                    </a:xfrm>
                    <a:prstGeom prst="rect">
                      <a:avLst/>
                    </a:prstGeom>
                    <a:noFill/>
                  </pic:spPr>
                </pic:pic>
              </a:graphicData>
            </a:graphic>
          </wp:inline>
        </w:drawing>
      </w:r>
    </w:p>
    <w:p w14:paraId="4263FF11" w14:textId="0F4C07AC" w:rsidR="00142C60" w:rsidRPr="00100856" w:rsidRDefault="00DB08B7" w:rsidP="00142C60">
      <w:pPr>
        <w:rPr>
          <w:rFonts w:cstheme="minorHAnsi"/>
        </w:rPr>
      </w:pPr>
      <w:r>
        <w:rPr>
          <w:rFonts w:cstheme="minorHAnsi"/>
        </w:rPr>
        <w:t>Figura 8</w:t>
      </w:r>
      <w:r w:rsidR="00142C60">
        <w:rPr>
          <w:rFonts w:cstheme="minorHAnsi"/>
        </w:rPr>
        <w:t>. Respuesta a la aplicación de N en forma mineral y forma orgánica en diferentes dosis en verdeos de invierno del centro de Santa Fe.</w:t>
      </w:r>
    </w:p>
    <w:p w14:paraId="113D1A07" w14:textId="77777777" w:rsidR="00142C60" w:rsidRPr="00100856" w:rsidRDefault="00142C60" w:rsidP="00142C60">
      <w:pPr>
        <w:rPr>
          <w:rFonts w:cstheme="minorHAnsi"/>
        </w:rPr>
      </w:pPr>
    </w:p>
    <w:p w14:paraId="701C32C4" w14:textId="77777777" w:rsidR="00142C60" w:rsidRPr="00100856" w:rsidRDefault="00142C60" w:rsidP="00142C60">
      <w:pPr>
        <w:autoSpaceDE w:val="0"/>
        <w:autoSpaceDN w:val="0"/>
        <w:adjustRightInd w:val="0"/>
        <w:spacing w:after="0" w:line="240" w:lineRule="auto"/>
        <w:rPr>
          <w:rFonts w:cstheme="minorHAnsi"/>
          <w:b/>
        </w:rPr>
      </w:pPr>
      <w:r w:rsidRPr="00100856">
        <w:rPr>
          <w:rFonts w:cstheme="minorHAnsi"/>
          <w:b/>
        </w:rPr>
        <w:t xml:space="preserve">Recomendación </w:t>
      </w:r>
      <w:r>
        <w:rPr>
          <w:rFonts w:cstheme="minorHAnsi"/>
          <w:b/>
        </w:rPr>
        <w:t>de f</w:t>
      </w:r>
      <w:r w:rsidRPr="00100856">
        <w:rPr>
          <w:rFonts w:cstheme="minorHAnsi"/>
          <w:b/>
        </w:rPr>
        <w:t>ertilización</w:t>
      </w:r>
      <w:r>
        <w:rPr>
          <w:rFonts w:cstheme="minorHAnsi"/>
          <w:b/>
        </w:rPr>
        <w:t xml:space="preserve"> nitrogenada</w:t>
      </w:r>
    </w:p>
    <w:p w14:paraId="04D47A33" w14:textId="77777777" w:rsidR="00142C60" w:rsidRPr="00100856" w:rsidRDefault="00142C60" w:rsidP="00142C60">
      <w:pPr>
        <w:autoSpaceDE w:val="0"/>
        <w:autoSpaceDN w:val="0"/>
        <w:adjustRightInd w:val="0"/>
        <w:spacing w:after="0" w:line="240" w:lineRule="auto"/>
        <w:rPr>
          <w:rFonts w:cstheme="minorHAnsi"/>
        </w:rPr>
      </w:pPr>
    </w:p>
    <w:p w14:paraId="6660A6B4" w14:textId="77777777" w:rsidR="00142C60" w:rsidRDefault="00142C60" w:rsidP="00142C60">
      <w:pPr>
        <w:autoSpaceDE w:val="0"/>
        <w:autoSpaceDN w:val="0"/>
        <w:adjustRightInd w:val="0"/>
        <w:spacing w:after="0" w:line="240" w:lineRule="auto"/>
        <w:jc w:val="both"/>
        <w:rPr>
          <w:rFonts w:cstheme="minorHAnsi"/>
        </w:rPr>
      </w:pPr>
      <w:r w:rsidRPr="00100856">
        <w:rPr>
          <w:rFonts w:cstheme="minorHAnsi"/>
        </w:rPr>
        <w:t xml:space="preserve">Uno de los métodos más simples para definir la fertilización nitrogenada utiliza el contenido de nitrógeno a la siembra como referencia. La cantidad de nitrógeno disponible en el suelo previo a la fertilización, se resta de la estimada como “necesidad de nitrógeno del cultivo”. Esta última se determina en función del rendimiento esperado, </w:t>
      </w:r>
      <w:r>
        <w:rPr>
          <w:rFonts w:cstheme="minorHAnsi"/>
        </w:rPr>
        <w:t xml:space="preserve">y </w:t>
      </w:r>
      <w:r w:rsidRPr="00100856">
        <w:rPr>
          <w:rFonts w:cstheme="minorHAnsi"/>
        </w:rPr>
        <w:t xml:space="preserve">considerando </w:t>
      </w:r>
      <w:r w:rsidR="00CE41E1">
        <w:rPr>
          <w:rFonts w:cstheme="minorHAnsi"/>
        </w:rPr>
        <w:t>l</w:t>
      </w:r>
      <w:r w:rsidRPr="00100856">
        <w:rPr>
          <w:rFonts w:cstheme="minorHAnsi"/>
        </w:rPr>
        <w:t xml:space="preserve">a tasa de extracción </w:t>
      </w:r>
      <w:r>
        <w:rPr>
          <w:rFonts w:cstheme="minorHAnsi"/>
        </w:rPr>
        <w:t xml:space="preserve">o EUN </w:t>
      </w:r>
      <w:r w:rsidRPr="00100856">
        <w:rPr>
          <w:rFonts w:cstheme="minorHAnsi"/>
        </w:rPr>
        <w:t>de 20 a 30 kg de nitrógeno por tonelada de materia seca producida. El resultado da idea de la cantidad de nitrógeno a agregar como fertilizante.</w:t>
      </w:r>
      <w:r>
        <w:rPr>
          <w:rFonts w:cstheme="minorHAnsi"/>
        </w:rPr>
        <w:t xml:space="preserve"> Este</w:t>
      </w:r>
      <w:r w:rsidRPr="00100856">
        <w:rPr>
          <w:rFonts w:cstheme="minorHAnsi"/>
        </w:rPr>
        <w:t xml:space="preserve"> método asume </w:t>
      </w:r>
      <w:r w:rsidRPr="00100856">
        <w:rPr>
          <w:rFonts w:cstheme="minorHAnsi"/>
        </w:rPr>
        <w:lastRenderedPageBreak/>
        <w:t>que el nitrógeno disponible a la siembra no se pierde por lavado, y no considera la producción de nitrógeno por descomposición de la materia orgánica del suelo durante el cultivo. Por esto el diagnóstico es relativamente impreciso. Otros métodos, más ajustados pero con mayor grado de complejidad, se basan sobre la estimación del nitrógeno potencialmente mineralizable a partir de incubaciones de suelo en laboratorio, el contenido de nitrógeno en hojas del cultivo, el índice de verdor, etc.</w:t>
      </w:r>
      <w:r>
        <w:rPr>
          <w:rFonts w:cstheme="minorHAnsi"/>
        </w:rPr>
        <w:t xml:space="preserve"> Estos métodos muy utilizados en cultivos de grano (trigo, maíz) aún no se han ajustado para verdeos de invierno.</w:t>
      </w:r>
      <w:r w:rsidR="003279B8">
        <w:rPr>
          <w:rFonts w:cstheme="minorHAnsi"/>
        </w:rPr>
        <w:t xml:space="preserve"> A partir de la revisión de ensayos se estimaron modelos de respuesta a la fertilización según zona climática, fuente, momento y dosis de fertilización: </w:t>
      </w:r>
      <w:r w:rsidR="003279B8" w:rsidRPr="003279B8">
        <w:rPr>
          <w:rFonts w:cstheme="minorHAnsi"/>
          <w:b/>
          <w:i/>
        </w:rPr>
        <w:t>Herramienta para el cálculo de dosis de fertilizante en verdeos de invierno</w:t>
      </w:r>
      <w:r w:rsidR="003279B8">
        <w:rPr>
          <w:rFonts w:cstheme="minorHAnsi"/>
        </w:rPr>
        <w:t>.</w:t>
      </w:r>
    </w:p>
    <w:p w14:paraId="24E83FBA" w14:textId="77777777" w:rsidR="003279B8" w:rsidRPr="00100856" w:rsidRDefault="003279B8" w:rsidP="00142C60">
      <w:pPr>
        <w:autoSpaceDE w:val="0"/>
        <w:autoSpaceDN w:val="0"/>
        <w:adjustRightInd w:val="0"/>
        <w:spacing w:after="0" w:line="240" w:lineRule="auto"/>
        <w:jc w:val="both"/>
        <w:rPr>
          <w:rFonts w:cstheme="minorHAnsi"/>
        </w:rPr>
      </w:pPr>
    </w:p>
    <w:p w14:paraId="7CE19177" w14:textId="77777777" w:rsidR="00142C60" w:rsidRPr="00100856" w:rsidRDefault="00142C60" w:rsidP="00142C60">
      <w:pPr>
        <w:rPr>
          <w:rFonts w:cstheme="minorHAnsi"/>
          <w:b/>
        </w:rPr>
      </w:pPr>
      <w:r>
        <w:rPr>
          <w:rFonts w:cstheme="minorHAnsi"/>
          <w:b/>
        </w:rPr>
        <w:t>Fó</w:t>
      </w:r>
      <w:r w:rsidRPr="00100856">
        <w:rPr>
          <w:rFonts w:cstheme="minorHAnsi"/>
          <w:b/>
        </w:rPr>
        <w:t>sforo</w:t>
      </w:r>
    </w:p>
    <w:p w14:paraId="74968CB2" w14:textId="79302518" w:rsidR="00142C60" w:rsidRPr="00100856" w:rsidRDefault="00142C60" w:rsidP="00142C60">
      <w:pPr>
        <w:jc w:val="both"/>
        <w:rPr>
          <w:rFonts w:cstheme="minorHAnsi"/>
        </w:rPr>
      </w:pPr>
      <w:r w:rsidRPr="00100856">
        <w:rPr>
          <w:rFonts w:cstheme="minorHAnsi"/>
        </w:rPr>
        <w:t xml:space="preserve">Los suelos de </w:t>
      </w:r>
      <w:r w:rsidR="00CE41E1">
        <w:rPr>
          <w:rFonts w:cstheme="minorHAnsi"/>
        </w:rPr>
        <w:t>la Región Pampeana</w:t>
      </w:r>
      <w:r w:rsidRPr="00100856">
        <w:rPr>
          <w:rFonts w:cstheme="minorHAnsi"/>
        </w:rPr>
        <w:t xml:space="preserve"> tienen una variación espacial de su fertilidad química, que incrementa su contenido de fosforo extractable (Bray</w:t>
      </w:r>
      <w:r>
        <w:rPr>
          <w:rFonts w:cstheme="minorHAnsi"/>
        </w:rPr>
        <w:t xml:space="preserve"> I</w:t>
      </w:r>
      <w:r w:rsidRPr="00100856">
        <w:rPr>
          <w:rFonts w:cstheme="minorHAnsi"/>
        </w:rPr>
        <w:t xml:space="preserve">) desde la región mas oriental hacia el Oeste </w:t>
      </w:r>
      <w:r w:rsidR="00170731">
        <w:rPr>
          <w:rFonts w:cstheme="minorHAnsi"/>
        </w:rPr>
        <w:t xml:space="preserve">y Noroeste </w:t>
      </w:r>
      <w:r w:rsidRPr="00100856">
        <w:rPr>
          <w:rFonts w:cstheme="minorHAnsi"/>
        </w:rPr>
        <w:t>(Figura</w:t>
      </w:r>
      <w:r w:rsidR="00DB08B7">
        <w:rPr>
          <w:rFonts w:cstheme="minorHAnsi"/>
        </w:rPr>
        <w:t xml:space="preserve"> 9</w:t>
      </w:r>
      <w:r w:rsidRPr="00100856">
        <w:rPr>
          <w:rFonts w:cstheme="minorHAnsi"/>
        </w:rPr>
        <w:t>).  El criterio de de</w:t>
      </w:r>
      <w:r w:rsidR="00170731">
        <w:rPr>
          <w:rFonts w:cstheme="minorHAnsi"/>
        </w:rPr>
        <w:t>cisión para la fertilización fos</w:t>
      </w:r>
      <w:r w:rsidRPr="00100856">
        <w:rPr>
          <w:rFonts w:cstheme="minorHAnsi"/>
        </w:rPr>
        <w:t>forada debiera ser en función del P disponible</w:t>
      </w:r>
      <w:r w:rsidR="00DB08B7">
        <w:rPr>
          <w:rFonts w:cstheme="minorHAnsi"/>
        </w:rPr>
        <w:t xml:space="preserve"> para el cultivo </w:t>
      </w:r>
      <w:r w:rsidRPr="00100856">
        <w:rPr>
          <w:rFonts w:cstheme="minorHAnsi"/>
        </w:rPr>
        <w:t xml:space="preserve">y con un concepto de suficiencia, es decir que el P no es limitante para maximizar la respuesta de N. El objetivo es no limitar los potenciales de producción de MS que estarán determinados principalmente por la provisión de agua y N. </w:t>
      </w:r>
      <w:r>
        <w:rPr>
          <w:rFonts w:cstheme="minorHAnsi"/>
        </w:rPr>
        <w:t xml:space="preserve">En definitiva, debe entenderse la </w:t>
      </w:r>
      <w:r w:rsidRPr="00100856">
        <w:rPr>
          <w:rFonts w:cstheme="minorHAnsi"/>
        </w:rPr>
        <w:t xml:space="preserve">disponibilidad de fósforo </w:t>
      </w:r>
      <w:r>
        <w:rPr>
          <w:rFonts w:cstheme="minorHAnsi"/>
        </w:rPr>
        <w:t>condicionante a</w:t>
      </w:r>
      <w:r w:rsidRPr="00100856">
        <w:rPr>
          <w:rFonts w:cstheme="minorHAnsi"/>
        </w:rPr>
        <w:t xml:space="preserve"> la respuesta a N.</w:t>
      </w:r>
    </w:p>
    <w:p w14:paraId="4EA07C47" w14:textId="77777777" w:rsidR="00142C60" w:rsidRPr="00100856" w:rsidRDefault="00170731" w:rsidP="00170731">
      <w:pPr>
        <w:jc w:val="center"/>
        <w:rPr>
          <w:rFonts w:cstheme="minorHAnsi"/>
        </w:rPr>
      </w:pPr>
      <w:r>
        <w:rPr>
          <w:noProof/>
          <w:lang w:eastAsia="es-AR"/>
        </w:rPr>
        <w:lastRenderedPageBreak/>
        <w:drawing>
          <wp:inline distT="0" distB="0" distL="0" distR="0" wp14:anchorId="6D6ED6C4" wp14:editId="5032013B">
            <wp:extent cx="4695393" cy="56388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ensidad_P.pdf"/>
                    <pic:cNvPicPr/>
                  </pic:nvPicPr>
                  <pic:blipFill rotWithShape="1">
                    <a:blip r:embed="rId16">
                      <a:extLst>
                        <a:ext uri="{28A0092B-C50C-407E-A947-70E740481C1C}">
                          <a14:useLocalDpi xmlns:a14="http://schemas.microsoft.com/office/drawing/2010/main" val="0"/>
                        </a:ext>
                      </a:extLst>
                    </a:blip>
                    <a:srcRect t="3761" b="3438"/>
                    <a:stretch/>
                  </pic:blipFill>
                  <pic:spPr bwMode="auto">
                    <a:xfrm>
                      <a:off x="0" y="0"/>
                      <a:ext cx="4697125" cy="5640880"/>
                    </a:xfrm>
                    <a:prstGeom prst="rect">
                      <a:avLst/>
                    </a:prstGeom>
                    <a:ln>
                      <a:noFill/>
                    </a:ln>
                    <a:extLst>
                      <a:ext uri="{53640926-AAD7-44D8-BBD7-CCE9431645EC}">
                        <a14:shadowObscured xmlns:a14="http://schemas.microsoft.com/office/drawing/2010/main"/>
                      </a:ext>
                    </a:extLst>
                  </pic:spPr>
                </pic:pic>
              </a:graphicData>
            </a:graphic>
          </wp:inline>
        </w:drawing>
      </w:r>
    </w:p>
    <w:p w14:paraId="7DCC941E" w14:textId="39782920" w:rsidR="00142C60" w:rsidRDefault="00DB08B7" w:rsidP="00142C60">
      <w:pPr>
        <w:rPr>
          <w:rFonts w:cstheme="minorHAnsi"/>
        </w:rPr>
      </w:pPr>
      <w:r>
        <w:rPr>
          <w:rFonts w:cstheme="minorHAnsi"/>
        </w:rPr>
        <w:t>Figura 9</w:t>
      </w:r>
      <w:r w:rsidR="00142C60">
        <w:rPr>
          <w:rFonts w:cstheme="minorHAnsi"/>
        </w:rPr>
        <w:t xml:space="preserve">. </w:t>
      </w:r>
      <w:r w:rsidR="00142C60" w:rsidRPr="00100856">
        <w:rPr>
          <w:rFonts w:cstheme="minorHAnsi"/>
        </w:rPr>
        <w:t>Mapa de disponibilidad de fosforo extractable (Bray</w:t>
      </w:r>
      <w:r w:rsidR="00142C60">
        <w:rPr>
          <w:rFonts w:cstheme="minorHAnsi"/>
        </w:rPr>
        <w:t xml:space="preserve"> I</w:t>
      </w:r>
      <w:r w:rsidR="00142C60" w:rsidRPr="00100856">
        <w:rPr>
          <w:rFonts w:cstheme="minorHAnsi"/>
        </w:rPr>
        <w:t xml:space="preserve">) en los suelos. </w:t>
      </w:r>
      <w:r w:rsidR="00142C60">
        <w:rPr>
          <w:rFonts w:cstheme="minorHAnsi"/>
        </w:rPr>
        <w:t xml:space="preserve">Gentileza del </w:t>
      </w:r>
      <w:r w:rsidR="00142C60" w:rsidRPr="00100856">
        <w:rPr>
          <w:rFonts w:cstheme="minorHAnsi"/>
        </w:rPr>
        <w:t>Laboratorio SueloFertil.</w:t>
      </w:r>
    </w:p>
    <w:p w14:paraId="2C5B4B6B" w14:textId="77777777" w:rsidR="00142C60" w:rsidRPr="00100856" w:rsidRDefault="00142C60" w:rsidP="00142C60">
      <w:pPr>
        <w:rPr>
          <w:rFonts w:cstheme="minorHAnsi"/>
        </w:rPr>
      </w:pPr>
    </w:p>
    <w:p w14:paraId="45691FE9" w14:textId="77777777" w:rsidR="00142C60" w:rsidRPr="00100856" w:rsidRDefault="00142C60" w:rsidP="00142C60">
      <w:pPr>
        <w:jc w:val="both"/>
        <w:rPr>
          <w:rFonts w:cstheme="minorHAnsi"/>
        </w:rPr>
      </w:pPr>
      <w:r w:rsidRPr="00100856">
        <w:rPr>
          <w:rFonts w:cstheme="minorHAnsi"/>
        </w:rPr>
        <w:t>El nivel de P critico es igual que en los cereales de invierno, alrededor de 17 ppm P Bray. Dentro de la decisión, considerar también el criterio de reposición de P al sistema suelo. En verdeos, así como también en pasturas perennes debe agregarse a la implantación. En los verdeos de invierno es un buen momento para aportar P al sistema ya que se logra una buena distribución del mismo por la distancia entre hileras que se siembra (17, 19, 20, 21 cm).</w:t>
      </w:r>
    </w:p>
    <w:p w14:paraId="6CFA17E4" w14:textId="307B9BCC" w:rsidR="00142C60" w:rsidRPr="00100856" w:rsidRDefault="00142C60" w:rsidP="00142C60">
      <w:pPr>
        <w:jc w:val="both"/>
        <w:rPr>
          <w:rFonts w:cstheme="minorHAnsi"/>
        </w:rPr>
      </w:pPr>
      <w:r w:rsidRPr="00100856">
        <w:rPr>
          <w:rFonts w:cstheme="minorHAnsi"/>
        </w:rPr>
        <w:t>A pesar de la importancia del P como nutriente, son pocos los ensayos de fertilización con P en verdeos de invierno.</w:t>
      </w:r>
      <w:r>
        <w:rPr>
          <w:rFonts w:cstheme="minorHAnsi"/>
        </w:rPr>
        <w:t xml:space="preserve"> A partir de la revisión de ensayos</w:t>
      </w:r>
      <w:r w:rsidR="00CE41E1">
        <w:rPr>
          <w:rFonts w:cstheme="minorHAnsi"/>
        </w:rPr>
        <w:t xml:space="preserve"> realizada para este artículo</w:t>
      </w:r>
      <w:r>
        <w:rPr>
          <w:rFonts w:cstheme="minorHAnsi"/>
        </w:rPr>
        <w:t xml:space="preserve"> se ha encontrado que los mismo </w:t>
      </w:r>
      <w:r w:rsidRPr="00100856">
        <w:rPr>
          <w:rFonts w:cstheme="minorHAnsi"/>
        </w:rPr>
        <w:t xml:space="preserve">se han realizado en suelos molisoles muy pobres en P (3 a 8 ppm P Bray) y se ha observado una respuesta asintótica </w:t>
      </w:r>
      <w:r w:rsidRPr="00100856">
        <w:rPr>
          <w:rFonts w:cstheme="minorHAnsi"/>
        </w:rPr>
        <w:lastRenderedPageBreak/>
        <w:t>al agregado de P d</w:t>
      </w:r>
      <w:r>
        <w:rPr>
          <w:rFonts w:cstheme="minorHAnsi"/>
        </w:rPr>
        <w:t>e</w:t>
      </w:r>
      <w:r w:rsidR="00DB08B7">
        <w:rPr>
          <w:rFonts w:cstheme="minorHAnsi"/>
        </w:rPr>
        <w:t>sde 0 a 50 kg/ha de P (Figura 10</w:t>
      </w:r>
      <w:r w:rsidRPr="00100856">
        <w:rPr>
          <w:rFonts w:cstheme="minorHAnsi"/>
        </w:rPr>
        <w:t>).  La respuesta promedio fue de 40 kg MS/ha para dosis entre 8 y 16 kg/ha P, lo que corresponden con unos 40 a 80 kg/ha de fertilizante fosforado como superfosfato triple</w:t>
      </w:r>
      <w:r>
        <w:rPr>
          <w:rFonts w:cstheme="minorHAnsi"/>
        </w:rPr>
        <w:t>, o fosfato monoamónico (Tabla 3</w:t>
      </w:r>
      <w:r w:rsidRPr="00100856">
        <w:rPr>
          <w:rFonts w:cstheme="minorHAnsi"/>
        </w:rPr>
        <w:t xml:space="preserve">). </w:t>
      </w:r>
    </w:p>
    <w:p w14:paraId="51737565" w14:textId="77777777" w:rsidR="00142C60" w:rsidRPr="00100856" w:rsidRDefault="00142C60" w:rsidP="00142C60">
      <w:pPr>
        <w:rPr>
          <w:rFonts w:cstheme="minorHAnsi"/>
        </w:rPr>
      </w:pPr>
    </w:p>
    <w:p w14:paraId="556B8F5D" w14:textId="77777777" w:rsidR="00142C60" w:rsidRPr="00100856" w:rsidRDefault="00142C60" w:rsidP="00142C60">
      <w:pPr>
        <w:rPr>
          <w:rFonts w:cstheme="minorHAnsi"/>
        </w:rPr>
      </w:pPr>
    </w:p>
    <w:p w14:paraId="1A67BD4D" w14:textId="77777777" w:rsidR="00142C60" w:rsidRPr="00100856" w:rsidRDefault="00142C60" w:rsidP="00142C60">
      <w:pPr>
        <w:jc w:val="center"/>
        <w:rPr>
          <w:rFonts w:cstheme="minorHAnsi"/>
        </w:rPr>
      </w:pPr>
      <w:r w:rsidRPr="00100856">
        <w:rPr>
          <w:rFonts w:cstheme="minorHAnsi"/>
          <w:noProof/>
          <w:lang w:eastAsia="es-AR"/>
        </w:rPr>
        <w:drawing>
          <wp:inline distT="0" distB="0" distL="0" distR="0" wp14:anchorId="29662128" wp14:editId="4E12C483">
            <wp:extent cx="3757702" cy="2590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774813" cy="2602597"/>
                    </a:xfrm>
                    <a:prstGeom prst="rect">
                      <a:avLst/>
                    </a:prstGeom>
                  </pic:spPr>
                </pic:pic>
              </a:graphicData>
            </a:graphic>
          </wp:inline>
        </w:drawing>
      </w:r>
    </w:p>
    <w:p w14:paraId="18D5F6A3" w14:textId="6254F975" w:rsidR="00142C60" w:rsidRPr="00100856" w:rsidRDefault="00DB08B7" w:rsidP="00142C60">
      <w:pPr>
        <w:jc w:val="center"/>
        <w:rPr>
          <w:rFonts w:cstheme="minorHAnsi"/>
        </w:rPr>
      </w:pPr>
      <w:r>
        <w:rPr>
          <w:rFonts w:cstheme="minorHAnsi"/>
        </w:rPr>
        <w:t>Figura 10</w:t>
      </w:r>
      <w:r w:rsidR="00142C60" w:rsidRPr="00100856">
        <w:rPr>
          <w:rFonts w:cstheme="minorHAnsi"/>
        </w:rPr>
        <w:t>. Respuesta en kg MS/ha a distintas dosis de fertilizante fosforado en verdeos de invierno. Revisión de ensayos en la Región Pampe</w:t>
      </w:r>
      <w:r w:rsidR="00142C60">
        <w:rPr>
          <w:rFonts w:cstheme="minorHAnsi"/>
        </w:rPr>
        <w:t>a</w:t>
      </w:r>
      <w:r w:rsidR="00142C60" w:rsidRPr="00100856">
        <w:rPr>
          <w:rFonts w:cstheme="minorHAnsi"/>
        </w:rPr>
        <w:t>na, suelos entre 3 y 8 ppm P-Bray. n= 21</w:t>
      </w:r>
    </w:p>
    <w:p w14:paraId="63637F83" w14:textId="77777777" w:rsidR="00142C60" w:rsidRDefault="00142C60" w:rsidP="00142C60">
      <w:pPr>
        <w:rPr>
          <w:rFonts w:cstheme="minorHAnsi"/>
        </w:rPr>
      </w:pPr>
    </w:p>
    <w:p w14:paraId="7B1FBC8C" w14:textId="60FBDDA2" w:rsidR="00142C60" w:rsidRDefault="00142C60" w:rsidP="00142C60">
      <w:pPr>
        <w:rPr>
          <w:rFonts w:cstheme="minorHAnsi"/>
        </w:rPr>
      </w:pPr>
      <w:r>
        <w:rPr>
          <w:rFonts w:cstheme="minorHAnsi"/>
        </w:rPr>
        <w:t>Tabla 3. Res</w:t>
      </w:r>
      <w:r w:rsidR="00DB08B7">
        <w:rPr>
          <w:rFonts w:cstheme="minorHAnsi"/>
        </w:rPr>
        <w:t>puesta media y eficiencia agronómica del fó</w:t>
      </w:r>
      <w:r>
        <w:rPr>
          <w:rFonts w:cstheme="minorHAnsi"/>
        </w:rPr>
        <w:t>sforo (</w:t>
      </w:r>
      <w:r w:rsidR="00DB08B7">
        <w:rPr>
          <w:rFonts w:cstheme="minorHAnsi"/>
        </w:rPr>
        <w:t>EA</w:t>
      </w:r>
      <w:r>
        <w:rPr>
          <w:rFonts w:cstheme="minorHAnsi"/>
        </w:rPr>
        <w:t>P) para distintas dosis de fertilizante fosforado. Revisión de experimentos en la Región Pampeana.</w:t>
      </w:r>
    </w:p>
    <w:tbl>
      <w:tblPr>
        <w:tblW w:w="5040" w:type="dxa"/>
        <w:jc w:val="center"/>
        <w:tblCellMar>
          <w:left w:w="70" w:type="dxa"/>
          <w:right w:w="70" w:type="dxa"/>
        </w:tblCellMar>
        <w:tblLook w:val="04A0" w:firstRow="1" w:lastRow="0" w:firstColumn="1" w:lastColumn="0" w:noHBand="0" w:noVBand="1"/>
      </w:tblPr>
      <w:tblGrid>
        <w:gridCol w:w="1320"/>
        <w:gridCol w:w="320"/>
        <w:gridCol w:w="1904"/>
        <w:gridCol w:w="1496"/>
      </w:tblGrid>
      <w:tr w:rsidR="00142C60" w:rsidRPr="00FB6A9F" w14:paraId="205E9F15" w14:textId="77777777" w:rsidTr="00592FD9">
        <w:trPr>
          <w:trHeight w:val="900"/>
          <w:jc w:val="center"/>
        </w:trPr>
        <w:tc>
          <w:tcPr>
            <w:tcW w:w="1320" w:type="dxa"/>
            <w:tcBorders>
              <w:top w:val="nil"/>
              <w:left w:val="nil"/>
              <w:bottom w:val="single" w:sz="4" w:space="0" w:color="auto"/>
              <w:right w:val="nil"/>
            </w:tcBorders>
            <w:shd w:val="clear" w:color="000000" w:fill="FFFFFF"/>
            <w:vAlign w:val="bottom"/>
            <w:hideMark/>
          </w:tcPr>
          <w:p w14:paraId="0B913FA6"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Dosis P (kg/ha)</w:t>
            </w:r>
          </w:p>
        </w:tc>
        <w:tc>
          <w:tcPr>
            <w:tcW w:w="320" w:type="dxa"/>
            <w:tcBorders>
              <w:top w:val="nil"/>
              <w:left w:val="nil"/>
              <w:bottom w:val="single" w:sz="4" w:space="0" w:color="auto"/>
              <w:right w:val="nil"/>
            </w:tcBorders>
            <w:shd w:val="clear" w:color="000000" w:fill="FFFFFF"/>
            <w:noWrap/>
            <w:vAlign w:val="bottom"/>
            <w:hideMark/>
          </w:tcPr>
          <w:p w14:paraId="5E436F49" w14:textId="77777777" w:rsidR="00142C60" w:rsidRPr="00100856" w:rsidRDefault="00142C60" w:rsidP="00592FD9">
            <w:pPr>
              <w:spacing w:after="0" w:line="240" w:lineRule="auto"/>
              <w:rPr>
                <w:rFonts w:eastAsia="Times New Roman" w:cstheme="minorHAnsi"/>
                <w:color w:val="000000"/>
                <w:lang w:eastAsia="es-AR"/>
              </w:rPr>
            </w:pPr>
            <w:r w:rsidRPr="00100856">
              <w:rPr>
                <w:rFonts w:eastAsia="Times New Roman" w:cstheme="minorHAnsi"/>
                <w:color w:val="000000"/>
                <w:lang w:eastAsia="es-AR"/>
              </w:rPr>
              <w:t>n</w:t>
            </w:r>
          </w:p>
        </w:tc>
        <w:tc>
          <w:tcPr>
            <w:tcW w:w="1904" w:type="dxa"/>
            <w:tcBorders>
              <w:top w:val="nil"/>
              <w:left w:val="nil"/>
              <w:bottom w:val="single" w:sz="4" w:space="0" w:color="auto"/>
              <w:right w:val="nil"/>
            </w:tcBorders>
            <w:shd w:val="clear" w:color="000000" w:fill="FFFFFF"/>
            <w:vAlign w:val="bottom"/>
            <w:hideMark/>
          </w:tcPr>
          <w:p w14:paraId="5C113542"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Respuesta media (kg MS/ha)</w:t>
            </w:r>
          </w:p>
        </w:tc>
        <w:tc>
          <w:tcPr>
            <w:tcW w:w="1496" w:type="dxa"/>
            <w:tcBorders>
              <w:top w:val="nil"/>
              <w:left w:val="nil"/>
              <w:bottom w:val="single" w:sz="4" w:space="0" w:color="auto"/>
              <w:right w:val="nil"/>
            </w:tcBorders>
            <w:shd w:val="clear" w:color="000000" w:fill="FFFFFF"/>
            <w:vAlign w:val="bottom"/>
            <w:hideMark/>
          </w:tcPr>
          <w:p w14:paraId="1B351AD7" w14:textId="3263D84D" w:rsidR="00142C60" w:rsidRPr="00100856" w:rsidRDefault="00142C60" w:rsidP="00592FD9">
            <w:pPr>
              <w:spacing w:after="0" w:line="240" w:lineRule="auto"/>
              <w:jc w:val="center"/>
              <w:rPr>
                <w:rFonts w:eastAsia="Times New Roman" w:cstheme="minorHAnsi"/>
                <w:color w:val="000000"/>
                <w:lang w:val="en-US" w:eastAsia="es-AR"/>
              </w:rPr>
            </w:pPr>
            <w:r w:rsidRPr="00100856">
              <w:rPr>
                <w:rFonts w:eastAsia="Times New Roman" w:cstheme="minorHAnsi"/>
                <w:color w:val="000000"/>
                <w:lang w:val="en-US" w:eastAsia="es-AR"/>
              </w:rPr>
              <w:t>E</w:t>
            </w:r>
            <w:r w:rsidR="00DB08B7">
              <w:rPr>
                <w:rFonts w:eastAsia="Times New Roman" w:cstheme="minorHAnsi"/>
                <w:color w:val="000000"/>
                <w:lang w:val="en-US" w:eastAsia="es-AR"/>
              </w:rPr>
              <w:t>A</w:t>
            </w:r>
            <w:r w:rsidRPr="00100856">
              <w:rPr>
                <w:rFonts w:eastAsia="Times New Roman" w:cstheme="minorHAnsi"/>
                <w:color w:val="000000"/>
                <w:lang w:val="en-US" w:eastAsia="es-AR"/>
              </w:rPr>
              <w:t xml:space="preserve">P </w:t>
            </w:r>
          </w:p>
          <w:p w14:paraId="5F53793A" w14:textId="77777777" w:rsidR="00142C60" w:rsidRPr="00100856" w:rsidRDefault="00142C60" w:rsidP="00592FD9">
            <w:pPr>
              <w:spacing w:after="0" w:line="240" w:lineRule="auto"/>
              <w:jc w:val="center"/>
              <w:rPr>
                <w:rFonts w:eastAsia="Times New Roman" w:cstheme="minorHAnsi"/>
                <w:color w:val="000000"/>
                <w:lang w:val="en-US" w:eastAsia="es-AR"/>
              </w:rPr>
            </w:pPr>
            <w:r w:rsidRPr="00100856">
              <w:rPr>
                <w:rFonts w:eastAsia="Times New Roman" w:cstheme="minorHAnsi"/>
                <w:color w:val="000000"/>
                <w:lang w:val="en-US" w:eastAsia="es-AR"/>
              </w:rPr>
              <w:t>(kg MS/kg P)</w:t>
            </w:r>
          </w:p>
        </w:tc>
      </w:tr>
      <w:tr w:rsidR="00142C60" w:rsidRPr="00100856" w14:paraId="7A5234CA" w14:textId="77777777" w:rsidTr="00592FD9">
        <w:trPr>
          <w:trHeight w:val="300"/>
          <w:jc w:val="center"/>
        </w:trPr>
        <w:tc>
          <w:tcPr>
            <w:tcW w:w="1320" w:type="dxa"/>
            <w:tcBorders>
              <w:top w:val="nil"/>
              <w:left w:val="nil"/>
              <w:bottom w:val="nil"/>
              <w:right w:val="nil"/>
            </w:tcBorders>
            <w:shd w:val="clear" w:color="000000" w:fill="FFFFFF"/>
            <w:noWrap/>
            <w:vAlign w:val="bottom"/>
            <w:hideMark/>
          </w:tcPr>
          <w:p w14:paraId="6909A984"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8</w:t>
            </w:r>
          </w:p>
        </w:tc>
        <w:tc>
          <w:tcPr>
            <w:tcW w:w="320" w:type="dxa"/>
            <w:tcBorders>
              <w:top w:val="nil"/>
              <w:left w:val="nil"/>
              <w:bottom w:val="nil"/>
              <w:right w:val="nil"/>
            </w:tcBorders>
            <w:shd w:val="clear" w:color="000000" w:fill="FFFFFF"/>
            <w:noWrap/>
            <w:vAlign w:val="bottom"/>
            <w:hideMark/>
          </w:tcPr>
          <w:p w14:paraId="32B91255" w14:textId="77777777" w:rsidR="00142C60" w:rsidRPr="00100856" w:rsidRDefault="00142C60" w:rsidP="00592FD9">
            <w:pPr>
              <w:spacing w:after="0" w:line="240" w:lineRule="auto"/>
              <w:jc w:val="right"/>
              <w:rPr>
                <w:rFonts w:eastAsia="Times New Roman" w:cstheme="minorHAnsi"/>
                <w:color w:val="000000"/>
                <w:lang w:eastAsia="es-AR"/>
              </w:rPr>
            </w:pPr>
            <w:r w:rsidRPr="00100856">
              <w:rPr>
                <w:rFonts w:eastAsia="Times New Roman" w:cstheme="minorHAnsi"/>
                <w:color w:val="000000"/>
                <w:lang w:eastAsia="es-AR"/>
              </w:rPr>
              <w:t>3</w:t>
            </w:r>
          </w:p>
        </w:tc>
        <w:tc>
          <w:tcPr>
            <w:tcW w:w="1904" w:type="dxa"/>
            <w:tcBorders>
              <w:top w:val="nil"/>
              <w:left w:val="nil"/>
              <w:bottom w:val="nil"/>
              <w:right w:val="nil"/>
            </w:tcBorders>
            <w:shd w:val="clear" w:color="000000" w:fill="FFFFFF"/>
            <w:noWrap/>
            <w:vAlign w:val="bottom"/>
            <w:hideMark/>
          </w:tcPr>
          <w:p w14:paraId="01011782"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243</w:t>
            </w:r>
          </w:p>
        </w:tc>
        <w:tc>
          <w:tcPr>
            <w:tcW w:w="1496" w:type="dxa"/>
            <w:tcBorders>
              <w:top w:val="nil"/>
              <w:left w:val="nil"/>
              <w:bottom w:val="nil"/>
              <w:right w:val="nil"/>
            </w:tcBorders>
            <w:shd w:val="clear" w:color="000000" w:fill="FFFFFF"/>
            <w:noWrap/>
            <w:vAlign w:val="bottom"/>
            <w:hideMark/>
          </w:tcPr>
          <w:p w14:paraId="21EF746D"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30</w:t>
            </w:r>
          </w:p>
        </w:tc>
      </w:tr>
      <w:tr w:rsidR="00142C60" w:rsidRPr="00100856" w14:paraId="49FC2A67" w14:textId="77777777" w:rsidTr="00592FD9">
        <w:trPr>
          <w:trHeight w:val="300"/>
          <w:jc w:val="center"/>
        </w:trPr>
        <w:tc>
          <w:tcPr>
            <w:tcW w:w="1320" w:type="dxa"/>
            <w:tcBorders>
              <w:top w:val="nil"/>
              <w:left w:val="nil"/>
              <w:bottom w:val="nil"/>
              <w:right w:val="nil"/>
            </w:tcBorders>
            <w:shd w:val="clear" w:color="000000" w:fill="FFFFFF"/>
            <w:noWrap/>
            <w:vAlign w:val="bottom"/>
            <w:hideMark/>
          </w:tcPr>
          <w:p w14:paraId="3EC021C1"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16</w:t>
            </w:r>
          </w:p>
        </w:tc>
        <w:tc>
          <w:tcPr>
            <w:tcW w:w="320" w:type="dxa"/>
            <w:tcBorders>
              <w:top w:val="nil"/>
              <w:left w:val="nil"/>
              <w:bottom w:val="nil"/>
              <w:right w:val="nil"/>
            </w:tcBorders>
            <w:shd w:val="clear" w:color="000000" w:fill="FFFFFF"/>
            <w:noWrap/>
            <w:vAlign w:val="bottom"/>
            <w:hideMark/>
          </w:tcPr>
          <w:p w14:paraId="6BDBCECA" w14:textId="77777777" w:rsidR="00142C60" w:rsidRPr="00100856" w:rsidRDefault="00142C60" w:rsidP="00592FD9">
            <w:pPr>
              <w:spacing w:after="0" w:line="240" w:lineRule="auto"/>
              <w:jc w:val="right"/>
              <w:rPr>
                <w:rFonts w:eastAsia="Times New Roman" w:cstheme="minorHAnsi"/>
                <w:color w:val="000000"/>
                <w:lang w:eastAsia="es-AR"/>
              </w:rPr>
            </w:pPr>
            <w:r w:rsidRPr="00100856">
              <w:rPr>
                <w:rFonts w:eastAsia="Times New Roman" w:cstheme="minorHAnsi"/>
                <w:color w:val="000000"/>
                <w:lang w:eastAsia="es-AR"/>
              </w:rPr>
              <w:t>7</w:t>
            </w:r>
          </w:p>
        </w:tc>
        <w:tc>
          <w:tcPr>
            <w:tcW w:w="1904" w:type="dxa"/>
            <w:tcBorders>
              <w:top w:val="nil"/>
              <w:left w:val="nil"/>
              <w:bottom w:val="nil"/>
              <w:right w:val="nil"/>
            </w:tcBorders>
            <w:shd w:val="clear" w:color="000000" w:fill="FFFFFF"/>
            <w:noWrap/>
            <w:vAlign w:val="bottom"/>
            <w:hideMark/>
          </w:tcPr>
          <w:p w14:paraId="6A9907E0"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693</w:t>
            </w:r>
          </w:p>
        </w:tc>
        <w:tc>
          <w:tcPr>
            <w:tcW w:w="1496" w:type="dxa"/>
            <w:tcBorders>
              <w:top w:val="nil"/>
              <w:left w:val="nil"/>
              <w:bottom w:val="nil"/>
              <w:right w:val="nil"/>
            </w:tcBorders>
            <w:shd w:val="clear" w:color="000000" w:fill="FFFFFF"/>
            <w:noWrap/>
            <w:vAlign w:val="bottom"/>
            <w:hideMark/>
          </w:tcPr>
          <w:p w14:paraId="0BD01D2E"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43</w:t>
            </w:r>
          </w:p>
        </w:tc>
      </w:tr>
      <w:tr w:rsidR="00142C60" w:rsidRPr="00100856" w14:paraId="0BE81416" w14:textId="77777777" w:rsidTr="00592FD9">
        <w:trPr>
          <w:trHeight w:val="300"/>
          <w:jc w:val="center"/>
        </w:trPr>
        <w:tc>
          <w:tcPr>
            <w:tcW w:w="1320" w:type="dxa"/>
            <w:tcBorders>
              <w:top w:val="nil"/>
              <w:left w:val="nil"/>
              <w:bottom w:val="nil"/>
              <w:right w:val="nil"/>
            </w:tcBorders>
            <w:shd w:val="clear" w:color="000000" w:fill="FFFFFF"/>
            <w:noWrap/>
            <w:vAlign w:val="bottom"/>
            <w:hideMark/>
          </w:tcPr>
          <w:p w14:paraId="69F39033"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33</w:t>
            </w:r>
          </w:p>
        </w:tc>
        <w:tc>
          <w:tcPr>
            <w:tcW w:w="320" w:type="dxa"/>
            <w:tcBorders>
              <w:top w:val="nil"/>
              <w:left w:val="nil"/>
              <w:bottom w:val="nil"/>
              <w:right w:val="nil"/>
            </w:tcBorders>
            <w:shd w:val="clear" w:color="000000" w:fill="FFFFFF"/>
            <w:noWrap/>
            <w:vAlign w:val="bottom"/>
            <w:hideMark/>
          </w:tcPr>
          <w:p w14:paraId="3FEFEC1D" w14:textId="77777777" w:rsidR="00142C60" w:rsidRPr="00100856" w:rsidRDefault="00142C60" w:rsidP="00592FD9">
            <w:pPr>
              <w:spacing w:after="0" w:line="240" w:lineRule="auto"/>
              <w:jc w:val="right"/>
              <w:rPr>
                <w:rFonts w:eastAsia="Times New Roman" w:cstheme="minorHAnsi"/>
                <w:color w:val="000000"/>
                <w:lang w:eastAsia="es-AR"/>
              </w:rPr>
            </w:pPr>
            <w:r w:rsidRPr="00100856">
              <w:rPr>
                <w:rFonts w:eastAsia="Times New Roman" w:cstheme="minorHAnsi"/>
                <w:color w:val="000000"/>
                <w:lang w:eastAsia="es-AR"/>
              </w:rPr>
              <w:t>2</w:t>
            </w:r>
          </w:p>
        </w:tc>
        <w:tc>
          <w:tcPr>
            <w:tcW w:w="1904" w:type="dxa"/>
            <w:tcBorders>
              <w:top w:val="nil"/>
              <w:left w:val="nil"/>
              <w:bottom w:val="nil"/>
              <w:right w:val="nil"/>
            </w:tcBorders>
            <w:shd w:val="clear" w:color="000000" w:fill="FFFFFF"/>
            <w:noWrap/>
            <w:vAlign w:val="bottom"/>
            <w:hideMark/>
          </w:tcPr>
          <w:p w14:paraId="7241EA7A"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755</w:t>
            </w:r>
          </w:p>
        </w:tc>
        <w:tc>
          <w:tcPr>
            <w:tcW w:w="1496" w:type="dxa"/>
            <w:tcBorders>
              <w:top w:val="nil"/>
              <w:left w:val="nil"/>
              <w:bottom w:val="nil"/>
              <w:right w:val="nil"/>
            </w:tcBorders>
            <w:shd w:val="clear" w:color="000000" w:fill="FFFFFF"/>
            <w:noWrap/>
            <w:vAlign w:val="bottom"/>
            <w:hideMark/>
          </w:tcPr>
          <w:p w14:paraId="65CD3145"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22</w:t>
            </w:r>
          </w:p>
        </w:tc>
      </w:tr>
      <w:tr w:rsidR="00142C60" w:rsidRPr="00100856" w14:paraId="7385C117" w14:textId="77777777" w:rsidTr="00592FD9">
        <w:trPr>
          <w:trHeight w:val="300"/>
          <w:jc w:val="center"/>
        </w:trPr>
        <w:tc>
          <w:tcPr>
            <w:tcW w:w="1320" w:type="dxa"/>
            <w:tcBorders>
              <w:top w:val="nil"/>
              <w:left w:val="nil"/>
              <w:bottom w:val="single" w:sz="4" w:space="0" w:color="auto"/>
              <w:right w:val="nil"/>
            </w:tcBorders>
            <w:shd w:val="clear" w:color="000000" w:fill="FFFFFF"/>
            <w:noWrap/>
            <w:vAlign w:val="bottom"/>
            <w:hideMark/>
          </w:tcPr>
          <w:p w14:paraId="615758AC"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50</w:t>
            </w:r>
          </w:p>
        </w:tc>
        <w:tc>
          <w:tcPr>
            <w:tcW w:w="320" w:type="dxa"/>
            <w:tcBorders>
              <w:top w:val="nil"/>
              <w:left w:val="nil"/>
              <w:bottom w:val="single" w:sz="4" w:space="0" w:color="auto"/>
              <w:right w:val="nil"/>
            </w:tcBorders>
            <w:shd w:val="clear" w:color="000000" w:fill="FFFFFF"/>
            <w:noWrap/>
            <w:vAlign w:val="bottom"/>
            <w:hideMark/>
          </w:tcPr>
          <w:p w14:paraId="6EF19FAA" w14:textId="77777777" w:rsidR="00142C60" w:rsidRPr="00100856" w:rsidRDefault="00142C60" w:rsidP="00592FD9">
            <w:pPr>
              <w:spacing w:after="0" w:line="240" w:lineRule="auto"/>
              <w:jc w:val="right"/>
              <w:rPr>
                <w:rFonts w:eastAsia="Times New Roman" w:cstheme="minorHAnsi"/>
                <w:color w:val="000000"/>
                <w:lang w:eastAsia="es-AR"/>
              </w:rPr>
            </w:pPr>
            <w:r w:rsidRPr="00100856">
              <w:rPr>
                <w:rFonts w:eastAsia="Times New Roman" w:cstheme="minorHAnsi"/>
                <w:color w:val="000000"/>
                <w:lang w:eastAsia="es-AR"/>
              </w:rPr>
              <w:t>2</w:t>
            </w:r>
          </w:p>
        </w:tc>
        <w:tc>
          <w:tcPr>
            <w:tcW w:w="1904" w:type="dxa"/>
            <w:tcBorders>
              <w:top w:val="nil"/>
              <w:left w:val="nil"/>
              <w:bottom w:val="single" w:sz="4" w:space="0" w:color="auto"/>
              <w:right w:val="nil"/>
            </w:tcBorders>
            <w:shd w:val="clear" w:color="000000" w:fill="FFFFFF"/>
            <w:noWrap/>
            <w:vAlign w:val="bottom"/>
            <w:hideMark/>
          </w:tcPr>
          <w:p w14:paraId="46872D26"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830</w:t>
            </w:r>
          </w:p>
        </w:tc>
        <w:tc>
          <w:tcPr>
            <w:tcW w:w="1496" w:type="dxa"/>
            <w:tcBorders>
              <w:top w:val="nil"/>
              <w:left w:val="nil"/>
              <w:bottom w:val="single" w:sz="4" w:space="0" w:color="auto"/>
              <w:right w:val="nil"/>
            </w:tcBorders>
            <w:shd w:val="clear" w:color="000000" w:fill="FFFFFF"/>
            <w:noWrap/>
            <w:vAlign w:val="bottom"/>
            <w:hideMark/>
          </w:tcPr>
          <w:p w14:paraId="4ADBF654" w14:textId="77777777" w:rsidR="00142C60" w:rsidRPr="00100856" w:rsidRDefault="00142C60" w:rsidP="00592FD9">
            <w:pPr>
              <w:spacing w:after="0" w:line="240" w:lineRule="auto"/>
              <w:jc w:val="center"/>
              <w:rPr>
                <w:rFonts w:eastAsia="Times New Roman" w:cstheme="minorHAnsi"/>
                <w:color w:val="000000"/>
                <w:lang w:eastAsia="es-AR"/>
              </w:rPr>
            </w:pPr>
            <w:r w:rsidRPr="00100856">
              <w:rPr>
                <w:rFonts w:eastAsia="Times New Roman" w:cstheme="minorHAnsi"/>
                <w:color w:val="000000"/>
                <w:lang w:eastAsia="es-AR"/>
              </w:rPr>
              <w:t>17</w:t>
            </w:r>
          </w:p>
        </w:tc>
      </w:tr>
    </w:tbl>
    <w:p w14:paraId="6D4D819E" w14:textId="77777777" w:rsidR="00142C60" w:rsidRPr="00100856" w:rsidRDefault="00142C60" w:rsidP="00142C60">
      <w:pPr>
        <w:rPr>
          <w:rFonts w:cstheme="minorHAnsi"/>
        </w:rPr>
      </w:pPr>
    </w:p>
    <w:p w14:paraId="51728AC0" w14:textId="77777777" w:rsidR="00142C60" w:rsidRPr="00100856" w:rsidRDefault="00142C60" w:rsidP="00142C60">
      <w:pPr>
        <w:rPr>
          <w:rFonts w:cstheme="minorHAnsi"/>
        </w:rPr>
      </w:pPr>
    </w:p>
    <w:p w14:paraId="3241C76F" w14:textId="77777777" w:rsidR="00142C60" w:rsidRPr="00100856" w:rsidRDefault="00142C60" w:rsidP="00142C60">
      <w:pPr>
        <w:rPr>
          <w:rFonts w:cstheme="minorHAnsi"/>
          <w:b/>
        </w:rPr>
      </w:pPr>
      <w:r w:rsidRPr="00100856">
        <w:rPr>
          <w:rFonts w:cstheme="minorHAnsi"/>
          <w:b/>
        </w:rPr>
        <w:t>Azufre</w:t>
      </w:r>
    </w:p>
    <w:p w14:paraId="208CC571" w14:textId="36BA34AD" w:rsidR="00142C60" w:rsidRPr="00100856" w:rsidRDefault="00142C60" w:rsidP="00142C60">
      <w:pPr>
        <w:jc w:val="both"/>
        <w:rPr>
          <w:rFonts w:cstheme="minorHAnsi"/>
        </w:rPr>
      </w:pPr>
      <w:r w:rsidRPr="00100856">
        <w:rPr>
          <w:rFonts w:cstheme="minorHAnsi"/>
        </w:rPr>
        <w:t xml:space="preserve">Casi todo el S de los suelos está formando parte de la materia orgánica, por lo tanto la capacidad de los suelos de proveer este nutrientes esta en función de los contenidos de materia orgánica y la mineralización de </w:t>
      </w:r>
      <w:r w:rsidR="00DB08B7">
        <w:rPr>
          <w:rFonts w:cstheme="minorHAnsi"/>
        </w:rPr>
        <w:t>la misma</w:t>
      </w:r>
      <w:r w:rsidRPr="00100856">
        <w:rPr>
          <w:rFonts w:cstheme="minorHAnsi"/>
        </w:rPr>
        <w:t xml:space="preserve">. Los requerimientos de S para los verdeos de invierno son similares a los de P (Tabla 1). En la Región Pampeana se han reportado respuesta a azufre (S) principalmente en los cultivos de verano, aunque hay </w:t>
      </w:r>
      <w:r w:rsidRPr="00100856">
        <w:rPr>
          <w:rFonts w:cstheme="minorHAnsi"/>
        </w:rPr>
        <w:lastRenderedPageBreak/>
        <w:t>algunas experiencias también en trigo. Es conocida la fertilización azufrada en la secuencia trigo/soja, en donde se manifiesta una marcada respuesta residual en la soja de segunda a las aplicaciones de S en trigo. Ferraris et al. (2007) trabajando en una secuencia cebada/maíz, también encontró que el agregado de dosis elevadas de N y S en cebada se manifestó en una respuesta residual en maíz de</w:t>
      </w:r>
      <w:r>
        <w:rPr>
          <w:rFonts w:cstheme="minorHAnsi"/>
        </w:rPr>
        <w:t xml:space="preserve"> segunda (Figura 12</w:t>
      </w:r>
      <w:r w:rsidRPr="00100856">
        <w:rPr>
          <w:rFonts w:cstheme="minorHAnsi"/>
        </w:rPr>
        <w:t>). Esto pone de manifiesto la consideración de la secuencia de cultivos a un manejo integral de la fertilidad, aun en nutrientes móviles como N y S.</w:t>
      </w:r>
      <w:r w:rsidR="00170731">
        <w:rPr>
          <w:rFonts w:cstheme="minorHAnsi"/>
        </w:rPr>
        <w:t xml:space="preserve"> </w:t>
      </w:r>
    </w:p>
    <w:p w14:paraId="537F4AE7" w14:textId="66C5800F" w:rsidR="00142C60" w:rsidRPr="00100856" w:rsidRDefault="00DB08B7" w:rsidP="00142C60">
      <w:pPr>
        <w:jc w:val="center"/>
        <w:rPr>
          <w:rFonts w:cstheme="minorHAnsi"/>
        </w:rPr>
      </w:pPr>
      <w:r>
        <w:rPr>
          <w:rFonts w:cstheme="minorHAnsi"/>
          <w:noProof/>
          <w:lang w:eastAsia="es-AR"/>
        </w:rPr>
        <w:drawing>
          <wp:inline distT="0" distB="0" distL="0" distR="0" wp14:anchorId="2A1A0174" wp14:editId="57D37893">
            <wp:extent cx="4078605" cy="27495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78605" cy="2749550"/>
                    </a:xfrm>
                    <a:prstGeom prst="rect">
                      <a:avLst/>
                    </a:prstGeom>
                    <a:noFill/>
                  </pic:spPr>
                </pic:pic>
              </a:graphicData>
            </a:graphic>
          </wp:inline>
        </w:drawing>
      </w:r>
    </w:p>
    <w:p w14:paraId="55696B5D" w14:textId="54B54CD2" w:rsidR="00142C60" w:rsidRPr="00100856" w:rsidRDefault="00142C60" w:rsidP="00142C60">
      <w:pPr>
        <w:rPr>
          <w:rFonts w:cstheme="minorHAnsi"/>
        </w:rPr>
      </w:pPr>
      <w:r>
        <w:rPr>
          <w:rFonts w:cstheme="minorHAnsi"/>
        </w:rPr>
        <w:t>Figura 12</w:t>
      </w:r>
      <w:r w:rsidRPr="00100856">
        <w:rPr>
          <w:rFonts w:cstheme="minorHAnsi"/>
        </w:rPr>
        <w:t>. Rendimientos de la secuencia cebada-maíz, resultado de diferentes disponibilidades de nitrógeno inicial (suelo + fertilizante), azufre (como f</w:t>
      </w:r>
      <w:r w:rsidR="002D4F8D">
        <w:rPr>
          <w:rFonts w:cstheme="minorHAnsi"/>
        </w:rPr>
        <w:t>ertilizante)</w:t>
      </w:r>
      <w:r w:rsidRPr="00100856">
        <w:rPr>
          <w:rFonts w:cstheme="minorHAnsi"/>
        </w:rPr>
        <w:t>. Los tratamientos fue</w:t>
      </w:r>
      <w:r w:rsidR="002D4F8D">
        <w:rPr>
          <w:rFonts w:cstheme="minorHAnsi"/>
        </w:rPr>
        <w:t xml:space="preserve">ron aplicados en cebada. Adaptado </w:t>
      </w:r>
      <w:r w:rsidRPr="00100856">
        <w:rPr>
          <w:rFonts w:cstheme="minorHAnsi"/>
        </w:rPr>
        <w:t xml:space="preserve">de Ferraris et al, 2007. </w:t>
      </w:r>
    </w:p>
    <w:p w14:paraId="4848BAC2" w14:textId="77777777" w:rsidR="00142C60" w:rsidRPr="00100856" w:rsidRDefault="00142C60" w:rsidP="00142C60">
      <w:pPr>
        <w:rPr>
          <w:rFonts w:cstheme="minorHAnsi"/>
        </w:rPr>
      </w:pPr>
    </w:p>
    <w:p w14:paraId="29317480" w14:textId="77777777" w:rsidR="00142C60" w:rsidRPr="00100856" w:rsidRDefault="00142C60" w:rsidP="00142C60">
      <w:pPr>
        <w:rPr>
          <w:rFonts w:cstheme="minorHAnsi"/>
          <w:b/>
        </w:rPr>
      </w:pPr>
      <w:r w:rsidRPr="00100856">
        <w:rPr>
          <w:rFonts w:cstheme="minorHAnsi"/>
          <w:b/>
        </w:rPr>
        <w:t>Evaluación económica de la fertilización</w:t>
      </w:r>
    </w:p>
    <w:p w14:paraId="694F2C0A" w14:textId="77777777" w:rsidR="00170731" w:rsidRPr="00170731" w:rsidRDefault="00170731" w:rsidP="00142C60">
      <w:pPr>
        <w:rPr>
          <w:rFonts w:cstheme="minorHAnsi"/>
          <w:bCs/>
        </w:rPr>
      </w:pPr>
      <w:r w:rsidRPr="00170731">
        <w:rPr>
          <w:rFonts w:cstheme="minorHAnsi"/>
          <w:bCs/>
        </w:rPr>
        <w:t xml:space="preserve">Para la </w:t>
      </w:r>
      <w:r>
        <w:rPr>
          <w:rFonts w:cstheme="minorHAnsi"/>
          <w:bCs/>
        </w:rPr>
        <w:t>evaluación económica de la fertilización es necesario tener en cuenta los costos y los ingresos obtenidos, y así calcular la dosis óptima a la cual se maximizan los ingresos.</w:t>
      </w:r>
    </w:p>
    <w:p w14:paraId="1D5957CC" w14:textId="77777777" w:rsidR="00142C60" w:rsidRPr="00100856" w:rsidRDefault="00142C60" w:rsidP="00142C60">
      <w:pPr>
        <w:rPr>
          <w:rFonts w:cstheme="minorHAnsi"/>
        </w:rPr>
      </w:pPr>
      <w:r w:rsidRPr="00100856">
        <w:rPr>
          <w:rFonts w:cstheme="minorHAnsi"/>
          <w:b/>
          <w:bCs/>
          <w:u w:val="single"/>
        </w:rPr>
        <w:t>Costo directo:</w:t>
      </w:r>
      <w:r w:rsidRPr="00100856">
        <w:rPr>
          <w:rFonts w:cstheme="minorHAnsi"/>
        </w:rPr>
        <w:br/>
      </w:r>
      <w:r w:rsidRPr="00100856">
        <w:rPr>
          <w:rFonts w:cstheme="minorHAnsi"/>
          <w:u w:val="single"/>
        </w:rPr>
        <w:t>Precio de fertilizante</w:t>
      </w:r>
      <w:r w:rsidRPr="00100856">
        <w:rPr>
          <w:rFonts w:cstheme="minorHAnsi"/>
        </w:rPr>
        <w:t>: Se obtiene el precio del fertilizante y se afecta por el contenido del nutriente en el fertilizante. Por ejemplo, la UREA tiene 46% de nitrógeno, un costo de 490 dólares la tonelada, entonces:</w:t>
      </w:r>
    </w:p>
    <w:p w14:paraId="0789F0A0" w14:textId="77777777" w:rsidR="00142C60" w:rsidRPr="00100856" w:rsidRDefault="00142C60" w:rsidP="00142C60">
      <w:pPr>
        <w:rPr>
          <w:rFonts w:cstheme="minorHAnsi"/>
        </w:rPr>
      </w:pPr>
      <w:r w:rsidRPr="00100856">
        <w:rPr>
          <w:rFonts w:cstheme="minorHAnsi"/>
        </w:rPr>
        <w:t xml:space="preserve"> </w:t>
      </w:r>
      <m:oMath>
        <m:r>
          <m:rPr>
            <m:sty m:val="p"/>
          </m:rPr>
          <w:rPr>
            <w:rFonts w:ascii="Cambria Math" w:hAnsi="Cambria Math" w:cstheme="minorHAnsi"/>
          </w:rPr>
          <m:t xml:space="preserve">Precio de N </m:t>
        </m:r>
        <m:d>
          <m:dPr>
            <m:ctrlPr>
              <w:rPr>
                <w:rFonts w:ascii="Cambria Math" w:hAnsi="Cambria Math" w:cstheme="minorHAnsi"/>
              </w:rPr>
            </m:ctrlPr>
          </m:dPr>
          <m:e>
            <m:f>
              <m:fPr>
                <m:ctrlPr>
                  <w:rPr>
                    <w:rFonts w:ascii="Cambria Math" w:hAnsi="Cambria Math" w:cstheme="minorHAnsi"/>
                  </w:rPr>
                </m:ctrlPr>
              </m:fPr>
              <m:num>
                <m:r>
                  <m:rPr>
                    <m:sty m:val="p"/>
                  </m:rPr>
                  <w:rPr>
                    <w:rFonts w:ascii="Cambria Math" w:hAnsi="Cambria Math" w:cstheme="minorHAnsi"/>
                  </w:rPr>
                  <m:t>US$</m:t>
                </m:r>
              </m:num>
              <m:den>
                <m:r>
                  <m:rPr>
                    <m:sty m:val="p"/>
                  </m:rPr>
                  <w:rPr>
                    <w:rFonts w:ascii="Cambria Math" w:hAnsi="Cambria Math" w:cstheme="minorHAnsi"/>
                  </w:rPr>
                  <m:t>kg</m:t>
                </m:r>
              </m:den>
            </m:f>
          </m:e>
        </m:d>
        <m:r>
          <m:rPr>
            <m:sty m:val="p"/>
          </m:rPr>
          <w:rPr>
            <w:rFonts w:ascii="Cambria Math" w:hAnsi="Cambria Math" w:cstheme="minorHAnsi"/>
          </w:rPr>
          <m:t>=</m:t>
        </m:r>
        <m:f>
          <m:fPr>
            <m:ctrlPr>
              <w:rPr>
                <w:rFonts w:ascii="Cambria Math" w:hAnsi="Cambria Math" w:cstheme="minorHAnsi"/>
              </w:rPr>
            </m:ctrlPr>
          </m:fPr>
          <m:num>
            <m:r>
              <m:rPr>
                <m:sty m:val="p"/>
              </m:rPr>
              <w:rPr>
                <w:rFonts w:ascii="Cambria Math" w:hAnsi="Cambria Math" w:cstheme="minorHAnsi"/>
              </w:rPr>
              <m:t xml:space="preserve">0.49 dólares/kg  </m:t>
            </m:r>
          </m:num>
          <m:den>
            <m:r>
              <w:rPr>
                <w:rFonts w:ascii="Cambria Math" w:hAnsi="Cambria Math" w:cstheme="minorHAnsi"/>
              </w:rPr>
              <m:t>0.46 (kgN/kgUREA)</m:t>
            </m:r>
          </m:den>
        </m:f>
      </m:oMath>
      <w:r w:rsidRPr="00100856">
        <w:rPr>
          <w:rFonts w:eastAsiaTheme="minorEastAsia" w:cstheme="minorHAnsi"/>
        </w:rPr>
        <w:t xml:space="preserve">  </w:t>
      </w:r>
    </w:p>
    <w:p w14:paraId="51E0D07D" w14:textId="2E380602" w:rsidR="00142C60" w:rsidRPr="00100856" w:rsidRDefault="00142C60" w:rsidP="00142C60">
      <w:pPr>
        <w:jc w:val="both"/>
        <w:rPr>
          <w:rFonts w:cstheme="minorHAnsi"/>
        </w:rPr>
      </w:pPr>
      <w:r w:rsidRPr="00100856">
        <w:rPr>
          <w:rFonts w:cstheme="minorHAnsi"/>
        </w:rPr>
        <w:br/>
      </w:r>
      <w:r w:rsidRPr="00100856">
        <w:rPr>
          <w:rFonts w:cstheme="minorHAnsi"/>
          <w:u w:val="single"/>
        </w:rPr>
        <w:t>Costo de aplicación</w:t>
      </w:r>
      <w:r w:rsidRPr="00100856">
        <w:rPr>
          <w:rFonts w:cstheme="minorHAnsi"/>
        </w:rPr>
        <w:t xml:space="preserve">: Depende del momento o tipo de fertilización, voleo o incorporado a la siembra. Los costos de las labores están generalmente expresados en litros de gasoil. Para el caso de requerir una fertilización a la siembra en sembradora de fina, generalmente se suma al costo de la siembra uno 5 l/ha de gasoil, el costo de la fertilizadora al voleo arrastre ronda los 8 l/ha de gasoil. Estos precios son orientativos y deben corroborarse en la zona y según tecnología de aplicación. </w:t>
      </w:r>
      <w:r w:rsidR="009F750F">
        <w:rPr>
          <w:rFonts w:cstheme="minorHAnsi"/>
        </w:rPr>
        <w:t xml:space="preserve">En dólares </w:t>
      </w:r>
      <w:r w:rsidRPr="00100856">
        <w:rPr>
          <w:rFonts w:cstheme="minorHAnsi"/>
        </w:rPr>
        <w:t>los costos estimados son:</w:t>
      </w:r>
    </w:p>
    <w:p w14:paraId="38AB2540" w14:textId="77777777" w:rsidR="00142C60" w:rsidRPr="00100856" w:rsidRDefault="00142C60" w:rsidP="00142C60">
      <w:pPr>
        <w:jc w:val="both"/>
        <w:rPr>
          <w:rFonts w:cstheme="minorHAnsi"/>
        </w:rPr>
      </w:pPr>
      <w:r w:rsidRPr="00100856">
        <w:rPr>
          <w:rFonts w:cstheme="minorHAnsi"/>
        </w:rPr>
        <w:lastRenderedPageBreak/>
        <w:t xml:space="preserve">-Fertilización con sembradora: </w:t>
      </w:r>
      <w:r w:rsidR="00CE41E1">
        <w:rPr>
          <w:rFonts w:cstheme="minorHAnsi"/>
        </w:rPr>
        <w:t>5</w:t>
      </w:r>
      <w:r w:rsidRPr="00100856">
        <w:rPr>
          <w:rFonts w:cstheme="minorHAnsi"/>
        </w:rPr>
        <w:t xml:space="preserve"> </w:t>
      </w:r>
      <w:r w:rsidR="00CE41E1">
        <w:rPr>
          <w:rFonts w:cstheme="minorHAnsi"/>
        </w:rPr>
        <w:t>US</w:t>
      </w:r>
      <w:r w:rsidRPr="00100856">
        <w:rPr>
          <w:rFonts w:cstheme="minorHAnsi"/>
        </w:rPr>
        <w:t>$/ha</w:t>
      </w:r>
    </w:p>
    <w:p w14:paraId="18C0D9ED" w14:textId="77777777" w:rsidR="00142C60" w:rsidRPr="00100856" w:rsidRDefault="00CE41E1" w:rsidP="00142C60">
      <w:pPr>
        <w:jc w:val="both"/>
        <w:rPr>
          <w:rFonts w:cstheme="minorHAnsi"/>
        </w:rPr>
      </w:pPr>
      <w:r>
        <w:rPr>
          <w:rFonts w:cstheme="minorHAnsi"/>
        </w:rPr>
        <w:t>-Fertilización al voleo: 9</w:t>
      </w:r>
      <w:r w:rsidR="00142C60" w:rsidRPr="00100856">
        <w:rPr>
          <w:rFonts w:cstheme="minorHAnsi"/>
        </w:rPr>
        <w:t xml:space="preserve"> </w:t>
      </w:r>
      <w:r>
        <w:rPr>
          <w:rFonts w:cstheme="minorHAnsi"/>
        </w:rPr>
        <w:t>US</w:t>
      </w:r>
      <w:r w:rsidR="00142C60" w:rsidRPr="00100856">
        <w:rPr>
          <w:rFonts w:cstheme="minorHAnsi"/>
        </w:rPr>
        <w:t>$/ha</w:t>
      </w:r>
    </w:p>
    <w:p w14:paraId="39750C20" w14:textId="77777777" w:rsidR="00142C60" w:rsidRPr="00100856" w:rsidRDefault="00142C60" w:rsidP="00142C60">
      <w:pPr>
        <w:jc w:val="both"/>
        <w:rPr>
          <w:rFonts w:cstheme="minorHAnsi"/>
        </w:rPr>
      </w:pPr>
      <w:r w:rsidRPr="00100856">
        <w:rPr>
          <w:rFonts w:cstheme="minorHAnsi"/>
          <w:u w:val="single"/>
        </w:rPr>
        <w:t>Dosis de fertilizante</w:t>
      </w:r>
      <w:r w:rsidRPr="00100856">
        <w:rPr>
          <w:rFonts w:cstheme="minorHAnsi"/>
        </w:rPr>
        <w:t>: La dosis de fertilizante estará en función del diagnóstico inicial de suelo y de la producción estimada. Suponiendo un objetivo de maximización de rendimiento se propone la aplicación de 80 kg N/ha dividido en 50-50 % entre siembra y luego del primer pastoreo.</w:t>
      </w:r>
    </w:p>
    <w:p w14:paraId="5A5EF5D9" w14:textId="77777777" w:rsidR="00142C60" w:rsidRPr="00100856" w:rsidRDefault="00142C60" w:rsidP="00142C60">
      <w:pPr>
        <w:jc w:val="both"/>
        <w:rPr>
          <w:rFonts w:cstheme="minorHAnsi"/>
        </w:rPr>
      </w:pPr>
      <w:r w:rsidRPr="00100856">
        <w:rPr>
          <w:rFonts w:cstheme="minorHAnsi"/>
        </w:rPr>
        <w:br/>
      </w:r>
      <w:r w:rsidRPr="00100856">
        <w:rPr>
          <w:rFonts w:cstheme="minorHAnsi"/>
          <w:u w:val="single"/>
        </w:rPr>
        <w:t>Tasa de interés</w:t>
      </w:r>
      <w:r w:rsidRPr="00100856">
        <w:rPr>
          <w:rFonts w:cstheme="minorHAnsi"/>
        </w:rPr>
        <w:t xml:space="preserve">: Los fertilizantes en general se comercializan de contado, es decir sin financiación. Por lo que al costo de fertilización se le suma el costo de inmovilización del capital. Se toma en general la tasa de referencia, y por el tiempo que se inmoviliza el capital (desde la compra hasta que se comercializa el producto generado: pasto, carne o leche). En el caso de que el fertilizante se compre financiado, se suma al precio del compra el costo de la financiación. La tasa de interés de referencia ronda el </w:t>
      </w:r>
      <w:r w:rsidR="00CE41E1">
        <w:rPr>
          <w:rFonts w:cstheme="minorHAnsi"/>
        </w:rPr>
        <w:t>9</w:t>
      </w:r>
      <w:r w:rsidRPr="00100856">
        <w:rPr>
          <w:rFonts w:cstheme="minorHAnsi"/>
        </w:rPr>
        <w:t>%</w:t>
      </w:r>
      <w:r w:rsidR="00CE41E1">
        <w:rPr>
          <w:rFonts w:cstheme="minorHAnsi"/>
        </w:rPr>
        <w:t xml:space="preserve"> en dólares</w:t>
      </w:r>
      <w:r w:rsidRPr="00100856">
        <w:rPr>
          <w:rFonts w:cstheme="minorHAnsi"/>
        </w:rPr>
        <w:t>, y el tiempo de inmovilización del capital es de alrededor de 6 meses.</w:t>
      </w:r>
    </w:p>
    <w:p w14:paraId="080A77F4" w14:textId="77777777" w:rsidR="00142C60" w:rsidRPr="00100856" w:rsidRDefault="00142C60" w:rsidP="00142C60">
      <w:pPr>
        <w:rPr>
          <w:rFonts w:cstheme="minorHAnsi"/>
        </w:rPr>
      </w:pPr>
    </w:p>
    <w:p w14:paraId="14A87142" w14:textId="77777777" w:rsidR="00142C60" w:rsidRPr="00100856" w:rsidRDefault="00142C60" w:rsidP="00142C60">
      <w:pPr>
        <w:rPr>
          <w:rFonts w:cstheme="minorHAnsi"/>
        </w:rPr>
      </w:pPr>
      <w:r w:rsidRPr="00100856">
        <w:rPr>
          <w:rFonts w:cstheme="minorHAnsi"/>
          <w:u w:val="single"/>
        </w:rPr>
        <w:t>Costo de Fertilización</w:t>
      </w:r>
      <w:r w:rsidRPr="00100856">
        <w:rPr>
          <w:rFonts w:cstheme="minorHAnsi"/>
        </w:rPr>
        <w:t>: El costo directo de la fertilización se calcula de la siguiente manera,</w:t>
      </w:r>
    </w:p>
    <w:p w14:paraId="1D0DAB7F" w14:textId="77777777" w:rsidR="00142C60" w:rsidRPr="00100856" w:rsidRDefault="00142C60" w:rsidP="00142C60">
      <w:pPr>
        <w:jc w:val="center"/>
        <w:rPr>
          <w:rFonts w:cstheme="minorHAnsi"/>
        </w:rPr>
      </w:pPr>
      <w:r w:rsidRPr="00100856">
        <w:rPr>
          <w:rFonts w:cstheme="minorHAnsi"/>
        </w:rPr>
        <w:t>Costo de la fertilización = (Costo aplicación + (Dosis * Costo de Fert.)) * (1 + Tasa de interés)</w:t>
      </w:r>
    </w:p>
    <w:p w14:paraId="3078FBA8" w14:textId="77777777" w:rsidR="00142C60" w:rsidRPr="00100856" w:rsidRDefault="00142C60" w:rsidP="00142C60">
      <w:pPr>
        <w:rPr>
          <w:rFonts w:cstheme="minorHAnsi"/>
        </w:rPr>
      </w:pPr>
    </w:p>
    <w:p w14:paraId="2C5B31AD" w14:textId="77777777" w:rsidR="00142C60" w:rsidRPr="00100856" w:rsidRDefault="00142C60" w:rsidP="00142C60">
      <w:pPr>
        <w:rPr>
          <w:rFonts w:cstheme="minorHAnsi"/>
        </w:rPr>
      </w:pPr>
      <w:r w:rsidRPr="00100856">
        <w:rPr>
          <w:rFonts w:cstheme="minorHAnsi"/>
        </w:rPr>
        <w:t xml:space="preserve">Para este ejemplo, </w:t>
      </w:r>
    </w:p>
    <w:p w14:paraId="418D84ED" w14:textId="77777777" w:rsidR="00142C60" w:rsidRPr="00100856" w:rsidRDefault="00142C60" w:rsidP="00142C60">
      <w:pPr>
        <w:jc w:val="center"/>
        <w:rPr>
          <w:rFonts w:cstheme="minorHAnsi"/>
        </w:rPr>
      </w:pPr>
      <w:r w:rsidRPr="00100856">
        <w:rPr>
          <w:rFonts w:cstheme="minorHAnsi"/>
        </w:rPr>
        <w:t>Costo Fert = (</w:t>
      </w:r>
      <w:r w:rsidR="00CE41E1">
        <w:rPr>
          <w:rFonts w:cstheme="minorHAnsi"/>
        </w:rPr>
        <w:t>5</w:t>
      </w:r>
      <w:r w:rsidRPr="00100856">
        <w:rPr>
          <w:rFonts w:cstheme="minorHAnsi"/>
        </w:rPr>
        <w:t xml:space="preserve"> </w:t>
      </w:r>
      <w:r w:rsidR="00CE41E1">
        <w:rPr>
          <w:rFonts w:cstheme="minorHAnsi"/>
        </w:rPr>
        <w:t>US</w:t>
      </w:r>
      <w:r w:rsidRPr="00100856">
        <w:rPr>
          <w:rFonts w:cstheme="minorHAnsi"/>
        </w:rPr>
        <w:t xml:space="preserve">$/ha + </w:t>
      </w:r>
      <w:r w:rsidR="00CE41E1">
        <w:rPr>
          <w:rFonts w:cstheme="minorHAnsi"/>
        </w:rPr>
        <w:t>9</w:t>
      </w:r>
      <w:r w:rsidRPr="00100856">
        <w:rPr>
          <w:rFonts w:cstheme="minorHAnsi"/>
        </w:rPr>
        <w:t xml:space="preserve"> </w:t>
      </w:r>
      <w:r w:rsidR="00CE41E1">
        <w:rPr>
          <w:rFonts w:cstheme="minorHAnsi"/>
        </w:rPr>
        <w:t>US</w:t>
      </w:r>
      <w:r w:rsidRPr="00100856">
        <w:rPr>
          <w:rFonts w:cstheme="minorHAnsi"/>
        </w:rPr>
        <w:t xml:space="preserve">$/ha + ( </w:t>
      </w:r>
      <w:r w:rsidR="00CE41E1">
        <w:rPr>
          <w:rFonts w:cstheme="minorHAnsi"/>
        </w:rPr>
        <w:t>1</w:t>
      </w:r>
      <w:r w:rsidRPr="00100856">
        <w:rPr>
          <w:rFonts w:cstheme="minorHAnsi"/>
        </w:rPr>
        <w:t xml:space="preserve"> </w:t>
      </w:r>
      <w:r w:rsidR="00CE41E1">
        <w:rPr>
          <w:rFonts w:cstheme="minorHAnsi"/>
        </w:rPr>
        <w:t>US</w:t>
      </w:r>
      <w:r w:rsidRPr="00100856">
        <w:rPr>
          <w:rFonts w:cstheme="minorHAnsi"/>
        </w:rPr>
        <w:t>$</w:t>
      </w:r>
      <w:r w:rsidR="00CE41E1">
        <w:rPr>
          <w:rFonts w:cstheme="minorHAnsi"/>
        </w:rPr>
        <w:t>/kg N * 80 kg N/ha)) * ( 1 + 0.045) = 98.25</w:t>
      </w:r>
      <w:r w:rsidRPr="00100856">
        <w:rPr>
          <w:rFonts w:cstheme="minorHAnsi"/>
        </w:rPr>
        <w:t xml:space="preserve"> </w:t>
      </w:r>
      <w:r w:rsidR="00CE41E1">
        <w:rPr>
          <w:rFonts w:cstheme="minorHAnsi"/>
        </w:rPr>
        <w:t>US</w:t>
      </w:r>
      <w:r w:rsidRPr="00100856">
        <w:rPr>
          <w:rFonts w:cstheme="minorHAnsi"/>
        </w:rPr>
        <w:t>$/ha</w:t>
      </w:r>
    </w:p>
    <w:p w14:paraId="6D315216" w14:textId="77777777" w:rsidR="00142C60" w:rsidRPr="00100856" w:rsidRDefault="00142C60" w:rsidP="00142C60">
      <w:pPr>
        <w:rPr>
          <w:rFonts w:cstheme="minorHAnsi"/>
        </w:rPr>
      </w:pPr>
    </w:p>
    <w:p w14:paraId="1826F59A" w14:textId="77777777" w:rsidR="00142C60" w:rsidRPr="00100856" w:rsidRDefault="00142C60" w:rsidP="00142C60">
      <w:pPr>
        <w:rPr>
          <w:rFonts w:cstheme="minorHAnsi"/>
        </w:rPr>
      </w:pPr>
      <w:r w:rsidRPr="00100856">
        <w:rPr>
          <w:rFonts w:cstheme="minorHAnsi"/>
          <w:b/>
          <w:bCs/>
          <w:u w:val="single"/>
        </w:rPr>
        <w:t>Ingreso por fertilización:</w:t>
      </w:r>
      <w:r w:rsidRPr="00100856">
        <w:rPr>
          <w:rFonts w:cstheme="minorHAnsi"/>
        </w:rPr>
        <w:br/>
      </w:r>
    </w:p>
    <w:p w14:paraId="29A8E618" w14:textId="77777777" w:rsidR="00142C60" w:rsidRPr="00100856" w:rsidRDefault="00142C60" w:rsidP="00142C60">
      <w:pPr>
        <w:jc w:val="both"/>
        <w:rPr>
          <w:rFonts w:cstheme="minorHAnsi"/>
        </w:rPr>
      </w:pPr>
      <w:r w:rsidRPr="00100856">
        <w:rPr>
          <w:rFonts w:cstheme="minorHAnsi"/>
          <w:u w:val="single"/>
        </w:rPr>
        <w:t>Respuesta</w:t>
      </w:r>
      <w:r w:rsidRPr="00100856">
        <w:rPr>
          <w:rFonts w:cstheme="minorHAnsi"/>
        </w:rPr>
        <w:t>: Los ingresos están en función de la respuesta esperada a la fertilización. La respuesta se calcula en función de ensayos de la zona, de no haber disponibilidad de ensayos se utiliza el de otras zonas. A partir de la relación kg MS / kg nutriente se calcula la respuesta esperada.</w:t>
      </w:r>
    </w:p>
    <w:p w14:paraId="4F8FF5B1" w14:textId="77777777" w:rsidR="00142C60" w:rsidRPr="00100856" w:rsidRDefault="00170731" w:rsidP="00142C60">
      <w:pPr>
        <w:rPr>
          <w:rFonts w:cstheme="minorHAnsi"/>
        </w:rPr>
      </w:pPr>
      <w:r>
        <w:rPr>
          <w:rFonts w:cstheme="minorHAnsi"/>
        </w:rPr>
        <w:t>En nuestro ejemplo utilizamos una eficiencia agronómica</w:t>
      </w:r>
      <w:r w:rsidR="00142C60" w:rsidRPr="00100856">
        <w:rPr>
          <w:rFonts w:cstheme="minorHAnsi"/>
        </w:rPr>
        <w:t xml:space="preserve"> de 25 kg MS/kg N a</w:t>
      </w:r>
      <w:r>
        <w:rPr>
          <w:rFonts w:cstheme="minorHAnsi"/>
        </w:rPr>
        <w:t xml:space="preserve"> una dosis de 80 kg N/ha</w:t>
      </w:r>
      <w:r w:rsidR="00142C60" w:rsidRPr="00100856">
        <w:rPr>
          <w:rFonts w:cstheme="minorHAnsi"/>
        </w:rPr>
        <w:t xml:space="preserve">, la respuesta estimada es de 2000 kg MS/ha. </w:t>
      </w:r>
      <w:r>
        <w:rPr>
          <w:rFonts w:cstheme="minorHAnsi"/>
        </w:rPr>
        <w:t xml:space="preserve"> </w:t>
      </w:r>
    </w:p>
    <w:p w14:paraId="60D1725F" w14:textId="77777777" w:rsidR="00142C60" w:rsidRDefault="00142C60" w:rsidP="00142C60">
      <w:pPr>
        <w:jc w:val="both"/>
        <w:rPr>
          <w:rFonts w:cstheme="minorHAnsi"/>
        </w:rPr>
      </w:pPr>
      <w:r w:rsidRPr="00100856">
        <w:rPr>
          <w:rFonts w:cstheme="minorHAnsi"/>
        </w:rPr>
        <w:br/>
      </w:r>
      <w:r w:rsidRPr="00100856">
        <w:rPr>
          <w:rFonts w:cstheme="minorHAnsi"/>
          <w:u w:val="single"/>
        </w:rPr>
        <w:t>Eficiencia de pastoreo</w:t>
      </w:r>
      <w:r w:rsidRPr="00100856">
        <w:rPr>
          <w:rFonts w:cstheme="minorHAnsi"/>
        </w:rPr>
        <w:t xml:space="preserve">: La eficiencia de pastoreo depende de la calidad del material y de la carga, o presión de pastoreo. Se puede utilizar en general para verdeos </w:t>
      </w:r>
      <w:r>
        <w:rPr>
          <w:rFonts w:cstheme="minorHAnsi"/>
        </w:rPr>
        <w:t>de raigrás un</w:t>
      </w:r>
      <w:r w:rsidRPr="00100856">
        <w:rPr>
          <w:rFonts w:cstheme="minorHAnsi"/>
        </w:rPr>
        <w:t xml:space="preserve"> 70%</w:t>
      </w:r>
      <w:r>
        <w:rPr>
          <w:rFonts w:cstheme="minorHAnsi"/>
        </w:rPr>
        <w:t xml:space="preserve"> de eficiencia de cosecha, aunque en avena tienden a ser algo menores</w:t>
      </w:r>
      <w:r w:rsidRPr="00100856">
        <w:rPr>
          <w:rFonts w:cstheme="minorHAnsi"/>
        </w:rPr>
        <w:t>.</w:t>
      </w:r>
    </w:p>
    <w:p w14:paraId="5E1D9601" w14:textId="77777777" w:rsidR="00142C60" w:rsidRPr="00100856" w:rsidRDefault="00142C60" w:rsidP="00142C60">
      <w:pPr>
        <w:jc w:val="both"/>
        <w:rPr>
          <w:rFonts w:cstheme="minorHAnsi"/>
        </w:rPr>
      </w:pPr>
    </w:p>
    <w:p w14:paraId="301088FE" w14:textId="77777777" w:rsidR="00142C60" w:rsidRPr="00100856" w:rsidRDefault="00142C60" w:rsidP="00142C60">
      <w:pPr>
        <w:jc w:val="both"/>
        <w:rPr>
          <w:rFonts w:cstheme="minorHAnsi"/>
        </w:rPr>
      </w:pPr>
      <w:r w:rsidRPr="00100856">
        <w:rPr>
          <w:rFonts w:cstheme="minorHAnsi"/>
          <w:u w:val="single"/>
        </w:rPr>
        <w:t>Conversión de kg MS a litros de leche</w:t>
      </w:r>
      <w:r w:rsidRPr="00100856">
        <w:rPr>
          <w:rFonts w:cstheme="minorHAnsi"/>
        </w:rPr>
        <w:t>: La eficiencia de conversión de kg MS a litros de leche depende de muchos factores resumidos en dos: por un lado la calidad de la materia seca ofrecida, y por otro la eficiencia del animal (tipo, momento de la lactancia, otro tipo de alimentación recibida). Sobre la primera la fertilización también tiene un efecto</w:t>
      </w:r>
      <w:r w:rsidR="00170731">
        <w:rPr>
          <w:rFonts w:cstheme="minorHAnsi"/>
        </w:rPr>
        <w:t>, afectando el porcentaje de MS y proteína bruta</w:t>
      </w:r>
      <w:r w:rsidRPr="00100856">
        <w:rPr>
          <w:rFonts w:cstheme="minorHAnsi"/>
        </w:rPr>
        <w:t xml:space="preserve">. En forma general se asume una </w:t>
      </w:r>
      <w:r w:rsidRPr="00100856">
        <w:rPr>
          <w:rFonts w:cstheme="minorHAnsi"/>
        </w:rPr>
        <w:lastRenderedPageBreak/>
        <w:t>conversión de 1 litro de leche por kg de MS consumido</w:t>
      </w:r>
      <w:r w:rsidR="00170731">
        <w:rPr>
          <w:rFonts w:cstheme="minorHAnsi"/>
        </w:rPr>
        <w:t xml:space="preserve"> a lo que se le suma 1.4% de producción por cada punto de proteína que se aumente con la fertilización</w:t>
      </w:r>
      <w:r w:rsidRPr="00100856">
        <w:rPr>
          <w:rFonts w:cstheme="minorHAnsi"/>
        </w:rPr>
        <w:t xml:space="preserve">. Con análisis de forraje es posible mejorar esta estimación. </w:t>
      </w:r>
    </w:p>
    <w:p w14:paraId="05644FF2" w14:textId="77777777" w:rsidR="00142C60" w:rsidRPr="00100856" w:rsidRDefault="00142C60" w:rsidP="00142C60">
      <w:pPr>
        <w:rPr>
          <w:rFonts w:cstheme="minorHAnsi"/>
        </w:rPr>
      </w:pPr>
      <w:r w:rsidRPr="00100856">
        <w:rPr>
          <w:rFonts w:cstheme="minorHAnsi"/>
        </w:rPr>
        <w:br/>
      </w:r>
      <w:r w:rsidRPr="00100856">
        <w:rPr>
          <w:rFonts w:cstheme="minorHAnsi"/>
          <w:u w:val="single"/>
        </w:rPr>
        <w:t>Precio de la leche</w:t>
      </w:r>
      <w:r w:rsidRPr="00100856">
        <w:rPr>
          <w:rFonts w:cstheme="minorHAnsi"/>
        </w:rPr>
        <w:t>: Depende del tipo de contrato, volumen, etc. Pero para el ejemplo util</w:t>
      </w:r>
      <w:r w:rsidR="00170731">
        <w:rPr>
          <w:rFonts w:cstheme="minorHAnsi"/>
        </w:rPr>
        <w:t>i</w:t>
      </w:r>
      <w:r w:rsidRPr="00100856">
        <w:rPr>
          <w:rFonts w:cstheme="minorHAnsi"/>
        </w:rPr>
        <w:t>za</w:t>
      </w:r>
      <w:r w:rsidR="00170731">
        <w:rPr>
          <w:rFonts w:cstheme="minorHAnsi"/>
        </w:rPr>
        <w:t>remos un precio de referencia de</w:t>
      </w:r>
      <w:r w:rsidRPr="00100856">
        <w:rPr>
          <w:rFonts w:cstheme="minorHAnsi"/>
        </w:rPr>
        <w:t xml:space="preserve">: </w:t>
      </w:r>
      <w:r w:rsidR="00CE41E1">
        <w:rPr>
          <w:rFonts w:cstheme="minorHAnsi"/>
        </w:rPr>
        <w:t>0.30</w:t>
      </w:r>
      <w:r w:rsidRPr="00100856">
        <w:rPr>
          <w:rFonts w:cstheme="minorHAnsi"/>
        </w:rPr>
        <w:t xml:space="preserve"> </w:t>
      </w:r>
      <w:r w:rsidR="00CE41E1">
        <w:rPr>
          <w:rFonts w:cstheme="minorHAnsi"/>
        </w:rPr>
        <w:t>US</w:t>
      </w:r>
      <w:r w:rsidRPr="00100856">
        <w:rPr>
          <w:rFonts w:cstheme="minorHAnsi"/>
        </w:rPr>
        <w:t>$/litro.</w:t>
      </w:r>
    </w:p>
    <w:p w14:paraId="745B97F4" w14:textId="77777777" w:rsidR="00142C60" w:rsidRPr="00100856" w:rsidRDefault="00142C60" w:rsidP="00142C60">
      <w:pPr>
        <w:rPr>
          <w:rFonts w:cstheme="minorHAnsi"/>
        </w:rPr>
      </w:pPr>
    </w:p>
    <w:p w14:paraId="78E16FD0" w14:textId="77777777" w:rsidR="00142C60" w:rsidRPr="00100856" w:rsidRDefault="00142C60" w:rsidP="00142C60">
      <w:pPr>
        <w:rPr>
          <w:rFonts w:cstheme="minorHAnsi"/>
        </w:rPr>
      </w:pPr>
      <w:r w:rsidRPr="00100856">
        <w:rPr>
          <w:rFonts w:cstheme="minorHAnsi"/>
          <w:u w:val="single"/>
        </w:rPr>
        <w:t>Ingreso bruto</w:t>
      </w:r>
      <w:r w:rsidRPr="00100856">
        <w:rPr>
          <w:rFonts w:cstheme="minorHAnsi"/>
        </w:rPr>
        <w:t>: de la fertilización se calcula de la siguiente manera,</w:t>
      </w:r>
    </w:p>
    <w:p w14:paraId="7B8B6848" w14:textId="77777777" w:rsidR="00142C60" w:rsidRPr="00100856" w:rsidRDefault="00142C60" w:rsidP="00142C60">
      <w:pPr>
        <w:jc w:val="center"/>
        <w:rPr>
          <w:rFonts w:cstheme="minorHAnsi"/>
        </w:rPr>
      </w:pPr>
      <w:r w:rsidRPr="00100856">
        <w:rPr>
          <w:rFonts w:cstheme="minorHAnsi"/>
        </w:rPr>
        <w:t>Ingreso bruto por fertilización= Respuesta * Ef. de Pastoreo * Ef. de Conversión * Precio de leche</w:t>
      </w:r>
    </w:p>
    <w:p w14:paraId="2E2C9DC0" w14:textId="77777777" w:rsidR="00142C60" w:rsidRPr="00CE41E1" w:rsidRDefault="00142C60" w:rsidP="00142C60">
      <w:pPr>
        <w:jc w:val="center"/>
        <w:rPr>
          <w:rFonts w:cstheme="minorHAnsi"/>
          <w:lang w:val="en-US"/>
        </w:rPr>
      </w:pPr>
      <w:r w:rsidRPr="00CE41E1">
        <w:rPr>
          <w:rFonts w:cstheme="minorHAnsi"/>
          <w:lang w:val="en-US"/>
        </w:rPr>
        <w:t>IB = 200</w:t>
      </w:r>
      <w:r w:rsidR="00CE41E1" w:rsidRPr="00CE41E1">
        <w:rPr>
          <w:rFonts w:cstheme="minorHAnsi"/>
          <w:lang w:val="en-US"/>
        </w:rPr>
        <w:t>0 kg MS/ha * 0.7 * 1 l/kg MS* 0</w:t>
      </w:r>
      <w:r w:rsidRPr="00CE41E1">
        <w:rPr>
          <w:rFonts w:cstheme="minorHAnsi"/>
          <w:lang w:val="en-US"/>
        </w:rPr>
        <w:t>.3</w:t>
      </w:r>
      <w:r w:rsidR="00CE41E1" w:rsidRPr="00CE41E1">
        <w:rPr>
          <w:rFonts w:cstheme="minorHAnsi"/>
          <w:lang w:val="en-US"/>
        </w:rPr>
        <w:t>0</w:t>
      </w:r>
      <w:r w:rsidRPr="00CE41E1">
        <w:rPr>
          <w:rFonts w:cstheme="minorHAnsi"/>
          <w:lang w:val="en-US"/>
        </w:rPr>
        <w:t xml:space="preserve"> </w:t>
      </w:r>
      <w:r w:rsidR="00CE41E1" w:rsidRPr="00CE41E1">
        <w:rPr>
          <w:rFonts w:cstheme="minorHAnsi"/>
          <w:lang w:val="en-US"/>
        </w:rPr>
        <w:t>US</w:t>
      </w:r>
      <w:r w:rsidRPr="00CE41E1">
        <w:rPr>
          <w:rFonts w:cstheme="minorHAnsi"/>
          <w:lang w:val="en-US"/>
        </w:rPr>
        <w:t xml:space="preserve">$/l = </w:t>
      </w:r>
      <w:r w:rsidR="00CE41E1" w:rsidRPr="00CE41E1">
        <w:rPr>
          <w:rFonts w:cstheme="minorHAnsi"/>
          <w:lang w:val="en-US"/>
        </w:rPr>
        <w:t>420 US</w:t>
      </w:r>
      <w:r w:rsidRPr="00CE41E1">
        <w:rPr>
          <w:rFonts w:cstheme="minorHAnsi"/>
          <w:lang w:val="en-US"/>
        </w:rPr>
        <w:t>$/ha</w:t>
      </w:r>
    </w:p>
    <w:p w14:paraId="00AC9184" w14:textId="77777777" w:rsidR="00142C60" w:rsidRPr="00CE41E1" w:rsidRDefault="00142C60" w:rsidP="00142C60">
      <w:pPr>
        <w:rPr>
          <w:rFonts w:cstheme="minorHAnsi"/>
          <w:lang w:val="en-US"/>
        </w:rPr>
      </w:pPr>
    </w:p>
    <w:p w14:paraId="7757225B" w14:textId="77777777" w:rsidR="00142C60" w:rsidRPr="00100856" w:rsidRDefault="00142C60" w:rsidP="00142C60">
      <w:pPr>
        <w:rPr>
          <w:rFonts w:cstheme="minorHAnsi"/>
        </w:rPr>
      </w:pPr>
      <w:r w:rsidRPr="00100856">
        <w:rPr>
          <w:rFonts w:cstheme="minorHAnsi"/>
        </w:rPr>
        <w:t>Al descontar de los Ingresos brutos los Costos directos la fertilización obtenemos el Ingreso Neto,</w:t>
      </w:r>
    </w:p>
    <w:p w14:paraId="64CE001C" w14:textId="77777777" w:rsidR="00142C60" w:rsidRPr="00100856" w:rsidRDefault="00142C60" w:rsidP="00142C60">
      <w:pPr>
        <w:jc w:val="center"/>
        <w:rPr>
          <w:rFonts w:cstheme="minorHAnsi"/>
        </w:rPr>
      </w:pPr>
      <w:r w:rsidRPr="00100856">
        <w:rPr>
          <w:rFonts w:cstheme="minorHAnsi"/>
        </w:rPr>
        <w:t>Ingreso neto por fertilización= Ingreso bruto – Costo de fertilización</w:t>
      </w:r>
    </w:p>
    <w:p w14:paraId="4DE70BB6" w14:textId="77777777" w:rsidR="00142C60" w:rsidRPr="00100856" w:rsidRDefault="00CE41E1" w:rsidP="00142C60">
      <w:pPr>
        <w:jc w:val="center"/>
        <w:rPr>
          <w:rFonts w:cstheme="minorHAnsi"/>
        </w:rPr>
      </w:pPr>
      <w:r w:rsidRPr="00CE41E1">
        <w:rPr>
          <w:rFonts w:cstheme="minorHAnsi"/>
        </w:rPr>
        <w:t>IN = 420 US$/ha – 98.25</w:t>
      </w:r>
      <w:r w:rsidR="00142C60" w:rsidRPr="00CE41E1">
        <w:rPr>
          <w:rFonts w:cstheme="minorHAnsi"/>
        </w:rPr>
        <w:t xml:space="preserve"> </w:t>
      </w:r>
      <w:r w:rsidRPr="00CE41E1">
        <w:rPr>
          <w:rFonts w:cstheme="minorHAnsi"/>
        </w:rPr>
        <w:t>US</w:t>
      </w:r>
      <w:r w:rsidR="00142C60" w:rsidRPr="00CE41E1">
        <w:rPr>
          <w:rFonts w:cstheme="minorHAnsi"/>
        </w:rPr>
        <w:t xml:space="preserve">$/ha = </w:t>
      </w:r>
      <w:r w:rsidRPr="00CE41E1">
        <w:rPr>
          <w:rFonts w:cstheme="minorHAnsi"/>
        </w:rPr>
        <w:t>321.75</w:t>
      </w:r>
      <w:r w:rsidR="00142C60" w:rsidRPr="00CE41E1">
        <w:rPr>
          <w:rFonts w:cstheme="minorHAnsi"/>
        </w:rPr>
        <w:t xml:space="preserve"> </w:t>
      </w:r>
      <w:r w:rsidRPr="00CE41E1">
        <w:rPr>
          <w:rFonts w:cstheme="minorHAnsi"/>
        </w:rPr>
        <w:t>US</w:t>
      </w:r>
      <w:r w:rsidR="00142C60" w:rsidRPr="00100856">
        <w:rPr>
          <w:rFonts w:cstheme="minorHAnsi"/>
        </w:rPr>
        <w:t>$/ha</w:t>
      </w:r>
    </w:p>
    <w:p w14:paraId="33B92148" w14:textId="77777777" w:rsidR="00142C60" w:rsidRPr="00100856" w:rsidRDefault="00142C60" w:rsidP="00142C60">
      <w:pPr>
        <w:rPr>
          <w:rFonts w:cstheme="minorHAnsi"/>
        </w:rPr>
      </w:pPr>
    </w:p>
    <w:p w14:paraId="603E8AAA" w14:textId="77777777" w:rsidR="00142C60" w:rsidRPr="00100856" w:rsidRDefault="00142C60" w:rsidP="00142C60">
      <w:pPr>
        <w:jc w:val="both"/>
        <w:rPr>
          <w:rFonts w:cstheme="minorHAnsi"/>
        </w:rPr>
      </w:pPr>
      <w:r w:rsidRPr="00100856">
        <w:rPr>
          <w:rFonts w:cstheme="minorHAnsi"/>
        </w:rPr>
        <w:t>Con estos valores es posible estimar Ingresos brutos, Costos directos e Ingresos netos para distintas dosis de fertilizante y definir la dosis en la cual se maximizan los ingresos brutos.</w:t>
      </w:r>
      <w:r w:rsidR="00CE41E1">
        <w:rPr>
          <w:rFonts w:cstheme="minorHAnsi"/>
        </w:rPr>
        <w:t xml:space="preserve"> Para esto desarrollamos una herramienta de cálculo</w:t>
      </w:r>
      <w:r w:rsidR="00170731">
        <w:rPr>
          <w:rFonts w:cstheme="minorHAnsi"/>
        </w:rPr>
        <w:t xml:space="preserve">: </w:t>
      </w:r>
      <w:r w:rsidR="00170731" w:rsidRPr="00170731">
        <w:rPr>
          <w:rFonts w:cstheme="minorHAnsi"/>
          <w:b/>
          <w:i/>
        </w:rPr>
        <w:t>Herramienta para el cálculo de dosis de fertilizante en verdeos de invierno</w:t>
      </w:r>
      <w:r w:rsidR="00CE41E1">
        <w:rPr>
          <w:rFonts w:cstheme="minorHAnsi"/>
        </w:rPr>
        <w:t>.</w:t>
      </w:r>
      <w:r w:rsidRPr="00100856">
        <w:rPr>
          <w:rFonts w:cstheme="minorHAnsi"/>
        </w:rPr>
        <w:t xml:space="preserve"> Los ingresos brutos siguen una tendencia de incrementos decrecientes, como la producción de mate</w:t>
      </w:r>
      <w:r w:rsidR="00170731">
        <w:rPr>
          <w:rFonts w:cstheme="minorHAnsi"/>
        </w:rPr>
        <w:t>ria seca, debido a una menor EA</w:t>
      </w:r>
      <w:r w:rsidRPr="00100856">
        <w:rPr>
          <w:rFonts w:cstheme="minorHAnsi"/>
        </w:rPr>
        <w:t xml:space="preserve"> a altas dosis. Los costos directos en cambio siguen una tendencia lineal. El ingreso neto encuentra un </w:t>
      </w:r>
      <w:r w:rsidR="00CE41E1" w:rsidRPr="00100856">
        <w:rPr>
          <w:rFonts w:cstheme="minorHAnsi"/>
        </w:rPr>
        <w:t>óptimo</w:t>
      </w:r>
      <w:r w:rsidRPr="00100856">
        <w:rPr>
          <w:rFonts w:cstheme="minorHAnsi"/>
        </w:rPr>
        <w:t xml:space="preserve"> en donde se maximizan los ingresos, y luego decrece. Ese óptimo </w:t>
      </w:r>
      <w:r w:rsidR="00CE41E1">
        <w:rPr>
          <w:rFonts w:cstheme="minorHAnsi"/>
        </w:rPr>
        <w:t xml:space="preserve">se llama Dosis óptima económica y </w:t>
      </w:r>
      <w:r w:rsidRPr="00100856">
        <w:rPr>
          <w:rFonts w:cstheme="minorHAnsi"/>
        </w:rPr>
        <w:t>para este ejemplo está alrededor de dosis de 120 kg N/ha, es decir unos 260 kg UREA.</w:t>
      </w:r>
    </w:p>
    <w:p w14:paraId="5A5A8ED9" w14:textId="21D94514" w:rsidR="00FB25F7" w:rsidRDefault="00FB25F7" w:rsidP="00FB25F7">
      <w:pPr>
        <w:jc w:val="both"/>
        <w:rPr>
          <w:rFonts w:cstheme="minorHAnsi"/>
        </w:rPr>
      </w:pPr>
      <w:r>
        <w:rPr>
          <w:rFonts w:cstheme="minorHAnsi"/>
        </w:rPr>
        <w:t xml:space="preserve">A partir de estos cálculos es posible observar el comportamiento del ingreso neto en la dosis optima a partir de cambios en los precios o eficiencias. Es muy común que la decisión de fertilización </w:t>
      </w:r>
      <w:r w:rsidR="004D39BD">
        <w:rPr>
          <w:rFonts w:cstheme="minorHAnsi"/>
        </w:rPr>
        <w:t>esté</w:t>
      </w:r>
      <w:r>
        <w:rPr>
          <w:rFonts w:cstheme="minorHAnsi"/>
        </w:rPr>
        <w:t xml:space="preserve"> basada en el precio de los fertilizantes o financia</w:t>
      </w:r>
      <w:r w:rsidR="004D39BD">
        <w:rPr>
          <w:rFonts w:cstheme="minorHAnsi"/>
        </w:rPr>
        <w:t>ción. Para este ejemplo se va</w:t>
      </w:r>
      <w:r>
        <w:rPr>
          <w:rFonts w:cstheme="minorHAnsi"/>
        </w:rPr>
        <w:t>riaron algunas de la</w:t>
      </w:r>
      <w:r w:rsidR="004D39BD">
        <w:rPr>
          <w:rFonts w:cstheme="minorHAnsi"/>
        </w:rPr>
        <w:t>s</w:t>
      </w:r>
      <w:r>
        <w:rPr>
          <w:rFonts w:cstheme="minorHAnsi"/>
        </w:rPr>
        <w:t xml:space="preserve"> variables para realizar un análisis de sensibilidad. Se encontró que el mayor impacto en el ingreso neto estaba dado por la capacidad de aprovechamiento del pasto, y en menor medida estuvo influenciado por el precio del fertilizante o el costo de la financiación. El manejo resulta fundamental para aprovechamiento de la inversión.</w:t>
      </w:r>
    </w:p>
    <w:p w14:paraId="5F26F4AB" w14:textId="77777777" w:rsidR="00142C60" w:rsidRDefault="00FB25F7" w:rsidP="00FB25F7">
      <w:pPr>
        <w:jc w:val="center"/>
        <w:rPr>
          <w:rFonts w:cstheme="minorHAnsi"/>
        </w:rPr>
      </w:pPr>
      <w:r>
        <w:rPr>
          <w:rFonts w:cstheme="minorHAnsi"/>
          <w:noProof/>
          <w:lang w:eastAsia="es-AR"/>
        </w:rPr>
        <w:lastRenderedPageBreak/>
        <w:drawing>
          <wp:inline distT="0" distB="0" distL="0" distR="0" wp14:anchorId="7E7820D4" wp14:editId="6190703B">
            <wp:extent cx="3883660" cy="2950845"/>
            <wp:effectExtent l="0" t="0" r="254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83660" cy="2950845"/>
                    </a:xfrm>
                    <a:prstGeom prst="rect">
                      <a:avLst/>
                    </a:prstGeom>
                    <a:noFill/>
                  </pic:spPr>
                </pic:pic>
              </a:graphicData>
            </a:graphic>
          </wp:inline>
        </w:drawing>
      </w:r>
    </w:p>
    <w:p w14:paraId="74853C27" w14:textId="77777777" w:rsidR="00FB25F7" w:rsidRDefault="00FB25F7" w:rsidP="00142C60">
      <w:pPr>
        <w:rPr>
          <w:rFonts w:cstheme="minorHAnsi"/>
        </w:rPr>
      </w:pPr>
      <w:r>
        <w:rPr>
          <w:rFonts w:cstheme="minorHAnsi"/>
        </w:rPr>
        <w:t>Figura 13. Análisis de sensibilidad de la fertilización. Ingreso neto a la dosis óptima económica en función de cambios en el precio del fertilizante, la tasa de interés y la eficiencia de cosecha.</w:t>
      </w:r>
    </w:p>
    <w:p w14:paraId="3661A3EC" w14:textId="77777777" w:rsidR="00FB25F7" w:rsidRPr="00100856" w:rsidRDefault="00FB25F7" w:rsidP="00142C60">
      <w:pPr>
        <w:rPr>
          <w:rFonts w:cstheme="minorHAnsi"/>
        </w:rPr>
      </w:pPr>
    </w:p>
    <w:p w14:paraId="5ADA6308" w14:textId="77777777" w:rsidR="00142C60" w:rsidRPr="0026041A" w:rsidRDefault="00142C60" w:rsidP="00142C60">
      <w:pPr>
        <w:rPr>
          <w:rFonts w:cstheme="minorHAnsi"/>
          <w:b/>
        </w:rPr>
      </w:pPr>
      <w:r w:rsidRPr="0026041A">
        <w:rPr>
          <w:rFonts w:cstheme="minorHAnsi"/>
          <w:b/>
        </w:rPr>
        <w:t>Conclusiones</w:t>
      </w:r>
    </w:p>
    <w:p w14:paraId="071622FF" w14:textId="77777777" w:rsidR="00142C60" w:rsidRDefault="00142C60" w:rsidP="00142C60">
      <w:pPr>
        <w:jc w:val="both"/>
      </w:pPr>
      <w:r w:rsidRPr="00100856">
        <w:rPr>
          <w:rFonts w:cstheme="minorHAnsi"/>
        </w:rPr>
        <w:t>La fertilización de un cultivo debe orientarse a cubrir globalmente sus requerimientos nutricionales, favoreciendo las interacciones positivas entre nutrientes de modo de maximizar la eficiencia de uso de cada uno de ellos y, de esta manera, lograr el mayor retorno al capital invertido. Un concepto más amplio debe contemplar también aprovechar los efectos residuales de los nutrientes sobre los cultivos subsiguientes. Uno de los ejemplos más reiterados en est</w:t>
      </w:r>
      <w:r>
        <w:rPr>
          <w:rFonts w:cstheme="minorHAnsi"/>
        </w:rPr>
        <w:t xml:space="preserve">e sentido es la respuesta de los cultivos de verano </w:t>
      </w:r>
      <w:r w:rsidRPr="00100856">
        <w:rPr>
          <w:rFonts w:cstheme="minorHAnsi"/>
        </w:rPr>
        <w:t>de segunda al</w:t>
      </w:r>
      <w:r>
        <w:rPr>
          <w:rFonts w:cstheme="minorHAnsi"/>
        </w:rPr>
        <w:t xml:space="preserve"> azufre aplicado en los verdeos</w:t>
      </w:r>
      <w:r w:rsidRPr="00100856">
        <w:rPr>
          <w:rFonts w:cstheme="minorHAnsi"/>
        </w:rPr>
        <w:t xml:space="preserve"> de invierno</w:t>
      </w:r>
      <w:r>
        <w:t>. Sin embargo, los efectos acumulativos de una buena nutrición no se agotan en el término de una campaña.</w:t>
      </w:r>
    </w:p>
    <w:p w14:paraId="77493220" w14:textId="77777777" w:rsidR="00142C60" w:rsidRDefault="00142C60" w:rsidP="00142C60"/>
    <w:p w14:paraId="4E14FD3F" w14:textId="77777777" w:rsidR="00142C60" w:rsidRPr="0026041A" w:rsidRDefault="00142C60" w:rsidP="00142C60">
      <w:pPr>
        <w:rPr>
          <w:b/>
        </w:rPr>
      </w:pPr>
      <w:r w:rsidRPr="0026041A">
        <w:rPr>
          <w:b/>
        </w:rPr>
        <w:t>Bibliografía</w:t>
      </w:r>
    </w:p>
    <w:p w14:paraId="16442B09" w14:textId="77777777" w:rsidR="00142C60" w:rsidRDefault="00142C60" w:rsidP="00142C60">
      <w:pPr>
        <w:jc w:val="both"/>
      </w:pPr>
      <w:r>
        <w:t>Ferraris G, L Couretot, R Falconi, FH Gutiérrez Boem y P Prystupa. 2007. Efectos de la fertilización de cebada sobre la productividad de la secuencia cebada/soja y cebada/maíz en el noroeste de la provincia de Buenos Aires. Campaña 2006/07. En: Maíz. Resultados de Unidades demostrativas del Proyect</w:t>
      </w:r>
      <w:bookmarkStart w:id="0" w:name="_GoBack"/>
      <w:bookmarkEnd w:id="0"/>
      <w:r>
        <w:t>o Regional Agrícola, campaña 2006/07: 159-165</w:t>
      </w:r>
    </w:p>
    <w:p w14:paraId="5033C73E" w14:textId="77777777" w:rsidR="00142C60" w:rsidRDefault="00142C60" w:rsidP="00142C60">
      <w:pPr>
        <w:jc w:val="both"/>
      </w:pPr>
      <w:r>
        <w:t>Fontanetto H. 2000. La fertilización de forrajeras en el área central de Santa Fe. Jornada de Intercambio Técnico de Pasturas. AAPRESID. 53-65</w:t>
      </w:r>
    </w:p>
    <w:p w14:paraId="6D6F8098" w14:textId="77777777" w:rsidR="00142C60" w:rsidRPr="00514B18" w:rsidRDefault="00142C60" w:rsidP="00142C60">
      <w:pPr>
        <w:jc w:val="both"/>
      </w:pPr>
      <w:r>
        <w:t>Fontanetto H y O Keller. 2001. Fuentes nitrogenadas y momentos de aplicación sobre la producción de forraje de avena bajo siembra directa. 24° Congreso Argentino de Producción Animal.</w:t>
      </w:r>
    </w:p>
    <w:p w14:paraId="69A536B6" w14:textId="77777777" w:rsidR="00142C60" w:rsidRDefault="00142C60" w:rsidP="00142C60">
      <w:pPr>
        <w:jc w:val="both"/>
      </w:pPr>
      <w:r w:rsidRPr="00176A0A">
        <w:lastRenderedPageBreak/>
        <w:t xml:space="preserve">IPNI (International Plant Nutrition Institute). </w:t>
      </w:r>
      <w:r w:rsidRPr="00514B18">
        <w:t>2013. Planilla Cálculo de Requerimientos Nutricionales en cultivos de cereales, oleaginosos, industriales y forrajeros. http:// lacs.ipni.net/topic/nutrient-requirements.</w:t>
      </w:r>
    </w:p>
    <w:p w14:paraId="0230C8C0" w14:textId="77777777" w:rsidR="003279B8" w:rsidRPr="003279B8" w:rsidRDefault="003279B8" w:rsidP="00142C60">
      <w:pPr>
        <w:jc w:val="both"/>
        <w:rPr>
          <w:lang w:val="en-US"/>
        </w:rPr>
      </w:pPr>
      <w:r w:rsidRPr="003279B8">
        <w:rPr>
          <w:lang w:val="en-US"/>
        </w:rPr>
        <w:t>NRC</w:t>
      </w:r>
      <w:r w:rsidR="00170731">
        <w:rPr>
          <w:lang w:val="en-US"/>
        </w:rPr>
        <w:t xml:space="preserve"> 2001</w:t>
      </w:r>
      <w:r w:rsidRPr="003279B8">
        <w:rPr>
          <w:lang w:val="en-US"/>
        </w:rPr>
        <w:t>. Nutrient Requierement of Dairy Cattle</w:t>
      </w:r>
      <w:r>
        <w:rPr>
          <w:lang w:val="en-US"/>
        </w:rPr>
        <w:t xml:space="preserve"> v.1.1.9</w:t>
      </w:r>
    </w:p>
    <w:p w14:paraId="24921F0E" w14:textId="77777777" w:rsidR="00142C60" w:rsidRPr="00514B18" w:rsidRDefault="00142C60" w:rsidP="00142C60">
      <w:pPr>
        <w:jc w:val="both"/>
      </w:pPr>
      <w:r w:rsidRPr="0030437F">
        <w:t>Spara A, Fermanelli J y Vernengo E. 2009. Fertilización nitrogenada y manejo de la defoliación sobre la producción de raigrás anual. Revista Argentina de Producción Animal, Volumen 29 (1): 462-463.</w:t>
      </w:r>
    </w:p>
    <w:p w14:paraId="14BE237F" w14:textId="77777777" w:rsidR="001E70EE" w:rsidRPr="0065360D" w:rsidRDefault="001E70EE" w:rsidP="0065360D"/>
    <w:sectPr w:rsidR="001E70EE" w:rsidRPr="0065360D" w:rsidSect="00B17A35">
      <w:headerReference w:type="default" r:id="rId20"/>
      <w:pgSz w:w="11907" w:h="16839" w:code="9"/>
      <w:pgMar w:top="993" w:right="1080" w:bottom="1440" w:left="1080" w:header="226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2393B23" w16cid:durableId="21DD10B9"/>
  <w16cid:commentId w16cid:paraId="119BF339" w16cid:durableId="21DD1244"/>
  <w16cid:commentId w16cid:paraId="3BD32BE0" w16cid:durableId="21DD1262"/>
  <w16cid:commentId w16cid:paraId="66AB2B9D" w16cid:durableId="21DD1330"/>
  <w16cid:commentId w16cid:paraId="020C82FE" w16cid:durableId="21DD22BB"/>
  <w16cid:commentId w16cid:paraId="023AF6ED" w16cid:durableId="21DD233B"/>
  <w16cid:commentId w16cid:paraId="17D8F55C" w16cid:durableId="21DD236F"/>
  <w16cid:commentId w16cid:paraId="4B39404F" w16cid:durableId="21DD241B"/>
  <w16cid:commentId w16cid:paraId="03DCC733" w16cid:durableId="21DD2657"/>
  <w16cid:commentId w16cid:paraId="1EF312AD" w16cid:durableId="21DD2708"/>
  <w16cid:commentId w16cid:paraId="318F9AD6" w16cid:durableId="21DD27DD"/>
  <w16cid:commentId w16cid:paraId="3546585A" w16cid:durableId="21DD280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F32FBB" w14:textId="77777777" w:rsidR="00AD5C66" w:rsidRDefault="00AD5C66" w:rsidP="00E7656A">
      <w:pPr>
        <w:spacing w:after="0" w:line="240" w:lineRule="auto"/>
      </w:pPr>
      <w:r>
        <w:separator/>
      </w:r>
    </w:p>
  </w:endnote>
  <w:endnote w:type="continuationSeparator" w:id="0">
    <w:p w14:paraId="2655B55E" w14:textId="77777777" w:rsidR="00AD5C66" w:rsidRDefault="00AD5C66" w:rsidP="00E76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utiger-Normal">
    <w:altName w:val="Frutiger"/>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59B73B" w14:textId="77777777" w:rsidR="00AD5C66" w:rsidRDefault="00AD5C66" w:rsidP="00E7656A">
      <w:pPr>
        <w:spacing w:after="0" w:line="240" w:lineRule="auto"/>
      </w:pPr>
      <w:r>
        <w:separator/>
      </w:r>
    </w:p>
  </w:footnote>
  <w:footnote w:type="continuationSeparator" w:id="0">
    <w:p w14:paraId="0AF66E3A" w14:textId="77777777" w:rsidR="00AD5C66" w:rsidRDefault="00AD5C66" w:rsidP="00E765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A0F9B7" w14:textId="77777777" w:rsidR="00E7656A" w:rsidRDefault="00E7656A">
    <w:pPr>
      <w:pStyle w:val="Header"/>
    </w:pPr>
    <w:r>
      <w:rPr>
        <w:noProof/>
        <w:lang w:eastAsia="es-AR"/>
      </w:rPr>
      <w:drawing>
        <wp:anchor distT="0" distB="0" distL="114300" distR="114300" simplePos="0" relativeHeight="251657216" behindDoc="0" locked="0" layoutInCell="1" allowOverlap="1" wp14:anchorId="732E3F2A" wp14:editId="503A302F">
          <wp:simplePos x="0" y="0"/>
          <wp:positionH relativeFrom="margin">
            <wp:align>center</wp:align>
          </wp:positionH>
          <wp:positionV relativeFrom="margin">
            <wp:posOffset>-1580515</wp:posOffset>
          </wp:positionV>
          <wp:extent cx="6478270" cy="1367155"/>
          <wp:effectExtent l="0" t="0" r="0" b="444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tilla_hoja_word_vf.png"/>
                  <pic:cNvPicPr/>
                </pic:nvPicPr>
                <pic:blipFill>
                  <a:blip r:embed="rId1">
                    <a:extLst>
                      <a:ext uri="{28A0092B-C50C-407E-A947-70E740481C1C}">
                        <a14:useLocalDpi xmlns:a14="http://schemas.microsoft.com/office/drawing/2010/main" val="0"/>
                      </a:ext>
                    </a:extLst>
                  </a:blip>
                  <a:stretch>
                    <a:fillRect/>
                  </a:stretch>
                </pic:blipFill>
                <pic:spPr>
                  <a:xfrm>
                    <a:off x="0" y="0"/>
                    <a:ext cx="6478582" cy="136725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3084A"/>
    <w:multiLevelType w:val="multilevel"/>
    <w:tmpl w:val="5A7CC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74DC6"/>
    <w:multiLevelType w:val="multilevel"/>
    <w:tmpl w:val="B8CE3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BB0A86"/>
    <w:multiLevelType w:val="multilevel"/>
    <w:tmpl w:val="2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25C95771"/>
    <w:multiLevelType w:val="hybridMultilevel"/>
    <w:tmpl w:val="85A0C398"/>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hint="default"/>
      </w:rPr>
    </w:lvl>
    <w:lvl w:ilvl="2" w:tplc="2C0A0005">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50F800AB"/>
    <w:multiLevelType w:val="multilevel"/>
    <w:tmpl w:val="AC00F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CB419B"/>
    <w:multiLevelType w:val="multilevel"/>
    <w:tmpl w:val="20968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DF37F5"/>
    <w:multiLevelType w:val="multilevel"/>
    <w:tmpl w:val="F9A6DE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5"/>
  </w:num>
  <w:num w:numId="4">
    <w:abstractNumId w:val="1"/>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56A"/>
    <w:rsid w:val="000372C4"/>
    <w:rsid w:val="00047A22"/>
    <w:rsid w:val="000778B9"/>
    <w:rsid w:val="00084877"/>
    <w:rsid w:val="001307D7"/>
    <w:rsid w:val="001350BA"/>
    <w:rsid w:val="00142C60"/>
    <w:rsid w:val="00162D99"/>
    <w:rsid w:val="00170731"/>
    <w:rsid w:val="001979DF"/>
    <w:rsid w:val="001A3BA8"/>
    <w:rsid w:val="001E70EE"/>
    <w:rsid w:val="001F11D1"/>
    <w:rsid w:val="00244F0C"/>
    <w:rsid w:val="00252FAB"/>
    <w:rsid w:val="00260CCC"/>
    <w:rsid w:val="00263A1E"/>
    <w:rsid w:val="002A439B"/>
    <w:rsid w:val="002A6D33"/>
    <w:rsid w:val="002C47EA"/>
    <w:rsid w:val="002D4F8D"/>
    <w:rsid w:val="003279B8"/>
    <w:rsid w:val="0038379F"/>
    <w:rsid w:val="0039465D"/>
    <w:rsid w:val="003969C3"/>
    <w:rsid w:val="003A67E9"/>
    <w:rsid w:val="00444F8F"/>
    <w:rsid w:val="00460A8D"/>
    <w:rsid w:val="004658CC"/>
    <w:rsid w:val="00472F1D"/>
    <w:rsid w:val="00475C24"/>
    <w:rsid w:val="004760A8"/>
    <w:rsid w:val="00477E9F"/>
    <w:rsid w:val="004869BD"/>
    <w:rsid w:val="00492DE1"/>
    <w:rsid w:val="004D39BD"/>
    <w:rsid w:val="004E25C2"/>
    <w:rsid w:val="004F30AF"/>
    <w:rsid w:val="005A54C4"/>
    <w:rsid w:val="005C68F1"/>
    <w:rsid w:val="00602E2A"/>
    <w:rsid w:val="00622AC8"/>
    <w:rsid w:val="006404D1"/>
    <w:rsid w:val="0065360D"/>
    <w:rsid w:val="00660F89"/>
    <w:rsid w:val="00670ABA"/>
    <w:rsid w:val="00690E46"/>
    <w:rsid w:val="0069354D"/>
    <w:rsid w:val="0069642E"/>
    <w:rsid w:val="006B36E8"/>
    <w:rsid w:val="006E0BED"/>
    <w:rsid w:val="0074442A"/>
    <w:rsid w:val="007961DB"/>
    <w:rsid w:val="007C3281"/>
    <w:rsid w:val="007D1D7D"/>
    <w:rsid w:val="007D72AE"/>
    <w:rsid w:val="00806D67"/>
    <w:rsid w:val="00827E7F"/>
    <w:rsid w:val="00832255"/>
    <w:rsid w:val="00865518"/>
    <w:rsid w:val="008760E4"/>
    <w:rsid w:val="008E7A0E"/>
    <w:rsid w:val="008F7B1A"/>
    <w:rsid w:val="00951BEF"/>
    <w:rsid w:val="009670D8"/>
    <w:rsid w:val="00972301"/>
    <w:rsid w:val="00983156"/>
    <w:rsid w:val="009D3732"/>
    <w:rsid w:val="009F750F"/>
    <w:rsid w:val="00A1121E"/>
    <w:rsid w:val="00A2591D"/>
    <w:rsid w:val="00A25FAE"/>
    <w:rsid w:val="00A35511"/>
    <w:rsid w:val="00A66365"/>
    <w:rsid w:val="00AD5C66"/>
    <w:rsid w:val="00AE11D2"/>
    <w:rsid w:val="00B17A35"/>
    <w:rsid w:val="00B22081"/>
    <w:rsid w:val="00B36CCA"/>
    <w:rsid w:val="00B655F5"/>
    <w:rsid w:val="00B803BD"/>
    <w:rsid w:val="00BD1796"/>
    <w:rsid w:val="00BE775D"/>
    <w:rsid w:val="00C04E28"/>
    <w:rsid w:val="00C24113"/>
    <w:rsid w:val="00C51837"/>
    <w:rsid w:val="00C606DE"/>
    <w:rsid w:val="00C64E45"/>
    <w:rsid w:val="00CE41E1"/>
    <w:rsid w:val="00CF07E3"/>
    <w:rsid w:val="00D04541"/>
    <w:rsid w:val="00D704C3"/>
    <w:rsid w:val="00DB08B7"/>
    <w:rsid w:val="00DB6F9B"/>
    <w:rsid w:val="00DE6C96"/>
    <w:rsid w:val="00E032A2"/>
    <w:rsid w:val="00E06B75"/>
    <w:rsid w:val="00E27051"/>
    <w:rsid w:val="00E6716E"/>
    <w:rsid w:val="00E7231B"/>
    <w:rsid w:val="00E7656A"/>
    <w:rsid w:val="00EE68D3"/>
    <w:rsid w:val="00F1591D"/>
    <w:rsid w:val="00F6016A"/>
    <w:rsid w:val="00F629AC"/>
    <w:rsid w:val="00F73DE8"/>
    <w:rsid w:val="00FB25F7"/>
    <w:rsid w:val="00FB6A9F"/>
    <w:rsid w:val="00FC5F1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3368C0"/>
  <w15:docId w15:val="{C3F48ED4-C385-46B8-B1F4-867608315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C60"/>
  </w:style>
  <w:style w:type="paragraph" w:styleId="Heading3">
    <w:name w:val="heading 3"/>
    <w:basedOn w:val="Normal"/>
    <w:link w:val="Heading3Char"/>
    <w:uiPriority w:val="9"/>
    <w:qFormat/>
    <w:rsid w:val="00D704C3"/>
    <w:pPr>
      <w:keepNext/>
      <w:keepLines/>
      <w:spacing w:before="200" w:after="0" w:line="360" w:lineRule="auto"/>
      <w:outlineLvl w:val="2"/>
    </w:pPr>
    <w:rPr>
      <w:rFonts w:ascii="Cambria" w:eastAsia="Times New Roman" w:hAnsi="Times New Roman" w:cs="Times New Roman"/>
      <w:b/>
      <w:color w:val="4F81BD"/>
      <w:lang w:eastAsia="es-A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656A"/>
    <w:pPr>
      <w:tabs>
        <w:tab w:val="center" w:pos="4419"/>
        <w:tab w:val="right" w:pos="8838"/>
      </w:tabs>
      <w:spacing w:after="0" w:line="240" w:lineRule="auto"/>
    </w:pPr>
  </w:style>
  <w:style w:type="character" w:customStyle="1" w:styleId="HeaderChar">
    <w:name w:val="Header Char"/>
    <w:basedOn w:val="DefaultParagraphFont"/>
    <w:link w:val="Header"/>
    <w:uiPriority w:val="99"/>
    <w:rsid w:val="00E7656A"/>
  </w:style>
  <w:style w:type="paragraph" w:styleId="Footer">
    <w:name w:val="footer"/>
    <w:basedOn w:val="Normal"/>
    <w:link w:val="FooterChar"/>
    <w:uiPriority w:val="99"/>
    <w:unhideWhenUsed/>
    <w:rsid w:val="00E7656A"/>
    <w:pPr>
      <w:tabs>
        <w:tab w:val="center" w:pos="4419"/>
        <w:tab w:val="right" w:pos="8838"/>
      </w:tabs>
      <w:spacing w:after="0" w:line="240" w:lineRule="auto"/>
    </w:pPr>
  </w:style>
  <w:style w:type="character" w:customStyle="1" w:styleId="FooterChar">
    <w:name w:val="Footer Char"/>
    <w:basedOn w:val="DefaultParagraphFont"/>
    <w:link w:val="Footer"/>
    <w:uiPriority w:val="99"/>
    <w:rsid w:val="00E7656A"/>
  </w:style>
  <w:style w:type="paragraph" w:styleId="ListParagraph">
    <w:name w:val="List Paragraph"/>
    <w:basedOn w:val="Normal"/>
    <w:link w:val="ListParagraphChar"/>
    <w:uiPriority w:val="34"/>
    <w:qFormat/>
    <w:rsid w:val="0038379F"/>
    <w:pPr>
      <w:spacing w:after="200" w:line="276" w:lineRule="auto"/>
      <w:ind w:left="720"/>
      <w:contextualSpacing/>
    </w:pPr>
    <w:rPr>
      <w:rFonts w:ascii="Calibri" w:eastAsia="Times New Roman" w:hAnsi="Calibri" w:cs="Times New Roman"/>
      <w:lang w:eastAsia="es-AR"/>
    </w:rPr>
  </w:style>
  <w:style w:type="character" w:customStyle="1" w:styleId="ListParagraphChar">
    <w:name w:val="List Paragraph Char"/>
    <w:basedOn w:val="DefaultParagraphFont"/>
    <w:link w:val="ListParagraph"/>
    <w:uiPriority w:val="34"/>
    <w:locked/>
    <w:rsid w:val="0038379F"/>
    <w:rPr>
      <w:rFonts w:ascii="Calibri" w:eastAsia="Times New Roman" w:hAnsi="Calibri" w:cs="Times New Roman"/>
      <w:lang w:eastAsia="es-AR"/>
    </w:rPr>
  </w:style>
  <w:style w:type="character" w:styleId="Hyperlink">
    <w:name w:val="Hyperlink"/>
    <w:basedOn w:val="DefaultParagraphFont"/>
    <w:uiPriority w:val="99"/>
    <w:unhideWhenUsed/>
    <w:rsid w:val="00A25FAE"/>
    <w:rPr>
      <w:color w:val="0563C1" w:themeColor="hyperlink"/>
      <w:u w:val="single"/>
    </w:rPr>
  </w:style>
  <w:style w:type="character" w:customStyle="1" w:styleId="Heading3Char">
    <w:name w:val="Heading 3 Char"/>
    <w:basedOn w:val="DefaultParagraphFont"/>
    <w:link w:val="Heading3"/>
    <w:uiPriority w:val="9"/>
    <w:rsid w:val="00D704C3"/>
    <w:rPr>
      <w:rFonts w:ascii="Cambria" w:eastAsia="Times New Roman" w:hAnsi="Times New Roman" w:cs="Times New Roman"/>
      <w:b/>
      <w:color w:val="4F81BD"/>
      <w:lang w:eastAsia="es-AR"/>
    </w:rPr>
  </w:style>
  <w:style w:type="paragraph" w:styleId="BalloonText">
    <w:name w:val="Balloon Text"/>
    <w:basedOn w:val="Normal"/>
    <w:link w:val="BalloonTextChar"/>
    <w:uiPriority w:val="99"/>
    <w:semiHidden/>
    <w:unhideWhenUsed/>
    <w:rsid w:val="009723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2301"/>
    <w:rPr>
      <w:rFonts w:ascii="Tahoma" w:hAnsi="Tahoma" w:cs="Tahoma"/>
      <w:sz w:val="16"/>
      <w:szCs w:val="16"/>
    </w:rPr>
  </w:style>
  <w:style w:type="table" w:styleId="TableGrid">
    <w:name w:val="Table Grid"/>
    <w:basedOn w:val="TableNormal"/>
    <w:uiPriority w:val="39"/>
    <w:rsid w:val="00142C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42C60"/>
    <w:pPr>
      <w:autoSpaceDE w:val="0"/>
      <w:autoSpaceDN w:val="0"/>
      <w:adjustRightInd w:val="0"/>
      <w:spacing w:after="0" w:line="240" w:lineRule="auto"/>
    </w:pPr>
    <w:rPr>
      <w:rFonts w:ascii="Frutiger-Normal" w:hAnsi="Frutiger-Normal" w:cs="Frutiger-Normal"/>
      <w:color w:val="000000"/>
      <w:sz w:val="24"/>
      <w:szCs w:val="24"/>
    </w:rPr>
  </w:style>
  <w:style w:type="character" w:styleId="CommentReference">
    <w:name w:val="annotation reference"/>
    <w:basedOn w:val="DefaultParagraphFont"/>
    <w:uiPriority w:val="99"/>
    <w:semiHidden/>
    <w:unhideWhenUsed/>
    <w:rsid w:val="00BD1796"/>
    <w:rPr>
      <w:sz w:val="16"/>
      <w:szCs w:val="16"/>
    </w:rPr>
  </w:style>
  <w:style w:type="paragraph" w:styleId="CommentText">
    <w:name w:val="annotation text"/>
    <w:basedOn w:val="Normal"/>
    <w:link w:val="CommentTextChar"/>
    <w:uiPriority w:val="99"/>
    <w:semiHidden/>
    <w:unhideWhenUsed/>
    <w:rsid w:val="00BD1796"/>
    <w:pPr>
      <w:spacing w:line="240" w:lineRule="auto"/>
    </w:pPr>
    <w:rPr>
      <w:sz w:val="20"/>
      <w:szCs w:val="20"/>
    </w:rPr>
  </w:style>
  <w:style w:type="character" w:customStyle="1" w:styleId="CommentTextChar">
    <w:name w:val="Comment Text Char"/>
    <w:basedOn w:val="DefaultParagraphFont"/>
    <w:link w:val="CommentText"/>
    <w:uiPriority w:val="99"/>
    <w:semiHidden/>
    <w:rsid w:val="00BD1796"/>
    <w:rPr>
      <w:sz w:val="20"/>
      <w:szCs w:val="20"/>
    </w:rPr>
  </w:style>
  <w:style w:type="paragraph" w:styleId="CommentSubject">
    <w:name w:val="annotation subject"/>
    <w:basedOn w:val="CommentText"/>
    <w:next w:val="CommentText"/>
    <w:link w:val="CommentSubjectChar"/>
    <w:uiPriority w:val="99"/>
    <w:semiHidden/>
    <w:unhideWhenUsed/>
    <w:rsid w:val="00BD1796"/>
    <w:rPr>
      <w:b/>
      <w:bCs/>
    </w:rPr>
  </w:style>
  <w:style w:type="character" w:customStyle="1" w:styleId="CommentSubjectChar">
    <w:name w:val="Comment Subject Char"/>
    <w:basedOn w:val="CommentTextChar"/>
    <w:link w:val="CommentSubject"/>
    <w:uiPriority w:val="99"/>
    <w:semiHidden/>
    <w:rsid w:val="00BD179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6658757">
      <w:bodyDiv w:val="1"/>
      <w:marLeft w:val="0"/>
      <w:marRight w:val="0"/>
      <w:marTop w:val="0"/>
      <w:marBottom w:val="0"/>
      <w:divBdr>
        <w:top w:val="none" w:sz="0" w:space="0" w:color="auto"/>
        <w:left w:val="none" w:sz="0" w:space="0" w:color="auto"/>
        <w:bottom w:val="none" w:sz="0" w:space="0" w:color="auto"/>
        <w:right w:val="none" w:sz="0" w:space="0" w:color="auto"/>
      </w:divBdr>
      <w:divsChild>
        <w:div w:id="1727872852">
          <w:marLeft w:val="0"/>
          <w:marRight w:val="0"/>
          <w:marTop w:val="0"/>
          <w:marBottom w:val="0"/>
          <w:divBdr>
            <w:top w:val="none" w:sz="0" w:space="0" w:color="auto"/>
            <w:left w:val="none" w:sz="0" w:space="0" w:color="auto"/>
            <w:bottom w:val="none" w:sz="0" w:space="0" w:color="auto"/>
            <w:right w:val="none" w:sz="0" w:space="0" w:color="auto"/>
          </w:divBdr>
        </w:div>
        <w:div w:id="136651837">
          <w:marLeft w:val="0"/>
          <w:marRight w:val="0"/>
          <w:marTop w:val="0"/>
          <w:marBottom w:val="0"/>
          <w:divBdr>
            <w:top w:val="none" w:sz="0" w:space="0" w:color="auto"/>
            <w:left w:val="none" w:sz="0" w:space="0" w:color="auto"/>
            <w:bottom w:val="none" w:sz="0" w:space="0" w:color="auto"/>
            <w:right w:val="none" w:sz="0" w:space="0" w:color="auto"/>
          </w:divBdr>
        </w:div>
        <w:div w:id="1508331269">
          <w:marLeft w:val="0"/>
          <w:marRight w:val="0"/>
          <w:marTop w:val="0"/>
          <w:marBottom w:val="0"/>
          <w:divBdr>
            <w:top w:val="none" w:sz="0" w:space="0" w:color="auto"/>
            <w:left w:val="none" w:sz="0" w:space="0" w:color="auto"/>
            <w:bottom w:val="none" w:sz="0" w:space="0" w:color="auto"/>
            <w:right w:val="none" w:sz="0" w:space="0" w:color="auto"/>
          </w:divBdr>
        </w:div>
        <w:div w:id="1153839843">
          <w:marLeft w:val="0"/>
          <w:marRight w:val="0"/>
          <w:marTop w:val="0"/>
          <w:marBottom w:val="0"/>
          <w:divBdr>
            <w:top w:val="none" w:sz="0" w:space="0" w:color="auto"/>
            <w:left w:val="none" w:sz="0" w:space="0" w:color="auto"/>
            <w:bottom w:val="none" w:sz="0" w:space="0" w:color="auto"/>
            <w:right w:val="none" w:sz="0" w:space="0" w:color="auto"/>
          </w:divBdr>
        </w:div>
        <w:div w:id="1307277878">
          <w:marLeft w:val="0"/>
          <w:marRight w:val="0"/>
          <w:marTop w:val="0"/>
          <w:marBottom w:val="0"/>
          <w:divBdr>
            <w:top w:val="none" w:sz="0" w:space="0" w:color="auto"/>
            <w:left w:val="none" w:sz="0" w:space="0" w:color="auto"/>
            <w:bottom w:val="none" w:sz="0" w:space="0" w:color="auto"/>
            <w:right w:val="none" w:sz="0" w:space="0" w:color="auto"/>
          </w:divBdr>
        </w:div>
        <w:div w:id="198051113">
          <w:marLeft w:val="0"/>
          <w:marRight w:val="0"/>
          <w:marTop w:val="0"/>
          <w:marBottom w:val="0"/>
          <w:divBdr>
            <w:top w:val="none" w:sz="0" w:space="0" w:color="auto"/>
            <w:left w:val="none" w:sz="0" w:space="0" w:color="auto"/>
            <w:bottom w:val="none" w:sz="0" w:space="0" w:color="auto"/>
            <w:right w:val="none" w:sz="0" w:space="0" w:color="auto"/>
          </w:divBdr>
        </w:div>
        <w:div w:id="1943687751">
          <w:marLeft w:val="0"/>
          <w:marRight w:val="0"/>
          <w:marTop w:val="0"/>
          <w:marBottom w:val="0"/>
          <w:divBdr>
            <w:top w:val="none" w:sz="0" w:space="0" w:color="auto"/>
            <w:left w:val="none" w:sz="0" w:space="0" w:color="auto"/>
            <w:bottom w:val="none" w:sz="0" w:space="0" w:color="auto"/>
            <w:right w:val="none" w:sz="0" w:space="0" w:color="auto"/>
          </w:divBdr>
        </w:div>
        <w:div w:id="515703363">
          <w:marLeft w:val="0"/>
          <w:marRight w:val="0"/>
          <w:marTop w:val="0"/>
          <w:marBottom w:val="0"/>
          <w:divBdr>
            <w:top w:val="none" w:sz="0" w:space="0" w:color="auto"/>
            <w:left w:val="none" w:sz="0" w:space="0" w:color="auto"/>
            <w:bottom w:val="none" w:sz="0" w:space="0" w:color="auto"/>
            <w:right w:val="none" w:sz="0" w:space="0" w:color="auto"/>
          </w:divBdr>
        </w:div>
        <w:div w:id="1481118161">
          <w:marLeft w:val="0"/>
          <w:marRight w:val="0"/>
          <w:marTop w:val="0"/>
          <w:marBottom w:val="0"/>
          <w:divBdr>
            <w:top w:val="none" w:sz="0" w:space="0" w:color="auto"/>
            <w:left w:val="none" w:sz="0" w:space="0" w:color="auto"/>
            <w:bottom w:val="none" w:sz="0" w:space="0" w:color="auto"/>
            <w:right w:val="none" w:sz="0" w:space="0" w:color="auto"/>
          </w:divBdr>
        </w:div>
        <w:div w:id="1514567375">
          <w:marLeft w:val="0"/>
          <w:marRight w:val="0"/>
          <w:marTop w:val="0"/>
          <w:marBottom w:val="0"/>
          <w:divBdr>
            <w:top w:val="none" w:sz="0" w:space="0" w:color="auto"/>
            <w:left w:val="none" w:sz="0" w:space="0" w:color="auto"/>
            <w:bottom w:val="none" w:sz="0" w:space="0" w:color="auto"/>
            <w:right w:val="none" w:sz="0" w:space="0" w:color="auto"/>
          </w:divBdr>
        </w:div>
        <w:div w:id="492765658">
          <w:marLeft w:val="0"/>
          <w:marRight w:val="0"/>
          <w:marTop w:val="0"/>
          <w:marBottom w:val="0"/>
          <w:divBdr>
            <w:top w:val="none" w:sz="0" w:space="0" w:color="auto"/>
            <w:left w:val="none" w:sz="0" w:space="0" w:color="auto"/>
            <w:bottom w:val="none" w:sz="0" w:space="0" w:color="auto"/>
            <w:right w:val="none" w:sz="0" w:space="0" w:color="auto"/>
          </w:divBdr>
        </w:div>
        <w:div w:id="581988368">
          <w:marLeft w:val="0"/>
          <w:marRight w:val="0"/>
          <w:marTop w:val="0"/>
          <w:marBottom w:val="0"/>
          <w:divBdr>
            <w:top w:val="none" w:sz="0" w:space="0" w:color="auto"/>
            <w:left w:val="none" w:sz="0" w:space="0" w:color="auto"/>
            <w:bottom w:val="none" w:sz="0" w:space="0" w:color="auto"/>
            <w:right w:val="none" w:sz="0" w:space="0" w:color="auto"/>
          </w:divBdr>
        </w:div>
        <w:div w:id="1211959328">
          <w:marLeft w:val="0"/>
          <w:marRight w:val="0"/>
          <w:marTop w:val="0"/>
          <w:marBottom w:val="0"/>
          <w:divBdr>
            <w:top w:val="none" w:sz="0" w:space="0" w:color="auto"/>
            <w:left w:val="none" w:sz="0" w:space="0" w:color="auto"/>
            <w:bottom w:val="none" w:sz="0" w:space="0" w:color="auto"/>
            <w:right w:val="none" w:sz="0" w:space="0" w:color="auto"/>
          </w:divBdr>
        </w:div>
        <w:div w:id="1292437550">
          <w:marLeft w:val="0"/>
          <w:marRight w:val="0"/>
          <w:marTop w:val="0"/>
          <w:marBottom w:val="0"/>
          <w:divBdr>
            <w:top w:val="none" w:sz="0" w:space="0" w:color="auto"/>
            <w:left w:val="none" w:sz="0" w:space="0" w:color="auto"/>
            <w:bottom w:val="none" w:sz="0" w:space="0" w:color="auto"/>
            <w:right w:val="none" w:sz="0" w:space="0" w:color="auto"/>
          </w:divBdr>
        </w:div>
        <w:div w:id="1224368718">
          <w:marLeft w:val="0"/>
          <w:marRight w:val="0"/>
          <w:marTop w:val="0"/>
          <w:marBottom w:val="0"/>
          <w:divBdr>
            <w:top w:val="none" w:sz="0" w:space="0" w:color="auto"/>
            <w:left w:val="none" w:sz="0" w:space="0" w:color="auto"/>
            <w:bottom w:val="none" w:sz="0" w:space="0" w:color="auto"/>
            <w:right w:val="none" w:sz="0" w:space="0" w:color="auto"/>
          </w:divBdr>
        </w:div>
        <w:div w:id="16930728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microsoft.com/office/2016/09/relationships/commentsIds" Target="commentsIds.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DBB69E-8C6D-40BE-BCBE-001B634EF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387</TotalTime>
  <Pages>15</Pages>
  <Words>3900</Words>
  <Characters>21453</Characters>
  <Application>Microsoft Office Word</Application>
  <DocSecurity>0</DocSecurity>
  <Lines>178</Lines>
  <Paragraphs>50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25303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5</dc:creator>
  <cp:lastModifiedBy>Gonzalo Berhongaray</cp:lastModifiedBy>
  <cp:revision>3</cp:revision>
  <cp:lastPrinted>2019-03-01T17:57:00Z</cp:lastPrinted>
  <dcterms:created xsi:type="dcterms:W3CDTF">2020-01-30T13:12:00Z</dcterms:created>
  <dcterms:modified xsi:type="dcterms:W3CDTF">2020-01-31T18:32:00Z</dcterms:modified>
</cp:coreProperties>
</file>